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68" w:rsidRPr="00BF4B68" w:rsidRDefault="00BF4B68" w:rsidP="00BF4B68">
      <w:pPr>
        <w:shd w:val="clear" w:color="auto" w:fill="FFFFFF"/>
        <w:spacing w:after="0" w:line="510" w:lineRule="atLeas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</w:pPr>
      <w:r w:rsidRPr="00BF4B68"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  <w:t>Дод</w:t>
      </w:r>
      <w:bookmarkStart w:id="0" w:name="_GoBack"/>
      <w:bookmarkEnd w:id="0"/>
      <w:r w:rsidRPr="00BF4B68"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  <w:t>аток 1 до Методичних рекомендацій щодо облікової політики суб’єкта державного сектору</w:t>
      </w:r>
    </w:p>
    <w:p w:rsidR="00BF4B68" w:rsidRPr="00BF4B68" w:rsidRDefault="00BF4B68" w:rsidP="00BF4B68">
      <w:pPr>
        <w:spacing w:after="0" w:line="300" w:lineRule="atLeast"/>
        <w:textAlignment w:val="baseline"/>
        <w:rPr>
          <w:rFonts w:ascii="Book Antiqua" w:eastAsia="Times New Roman" w:hAnsi="Book Antiqua" w:cs="Times New Roman"/>
          <w:sz w:val="21"/>
          <w:szCs w:val="21"/>
          <w:lang w:eastAsia="uk-UA"/>
        </w:rPr>
      </w:pPr>
      <w:r w:rsidRPr="00BF4B68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Автор :</w:t>
      </w:r>
      <w:r w:rsidRPr="00BF4B68">
        <w:rPr>
          <w:rFonts w:ascii="Book Antiqua" w:eastAsia="Times New Roman" w:hAnsi="Book Antiqua" w:cs="Times New Roman"/>
          <w:sz w:val="21"/>
          <w:szCs w:val="21"/>
          <w:lang w:eastAsia="uk-UA"/>
        </w:rPr>
        <w:t> </w:t>
      </w:r>
      <w:r w:rsidRPr="00BF4B68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Міністерство фінансів України</w:t>
      </w:r>
    </w:p>
    <w:p w:rsidR="00BF4B68" w:rsidRPr="00BF4B68" w:rsidRDefault="00BF4B68" w:rsidP="00BF4B68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BF4B68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Типові строки корисного використання основних засобів суб’єктів державного сектору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076"/>
        <w:gridCol w:w="5338"/>
        <w:gridCol w:w="1977"/>
      </w:tblGrid>
      <w:tr w:rsidR="00BF4B68" w:rsidRPr="00BF4B68" w:rsidTr="00BF4B68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субрахунку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підгрупи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Строк корисного використання, років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Будинки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Будинки виробничо-господарського призначення (підгрупа 1):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з плівкових матеріалів, збірно-розбірні, пересувні, кіоски, ларьки, альтанки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дерев’яні, каркасні і щитові, контейнерні, дерево-металеві, каркасно-обшивні і панельні, глинобитні, сирцеві, саманові та інші аналогічні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без каркасів зі стінами полегшеної кам’яної кладки, залізобетонними, цегляними і дерев’яними колонами та стовпами, із залізобетонними, дерев’яними та іншими перекриттями; дерев’яні з брущатими або зробленими з колод рубаними стінами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із залізобетонними і металевими каркасами, зі стінами з кам’яних матеріалів, великих блоків і панелей, із залізобетонними, металевими, іншими довговічними покриттями та інші некласифіковані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Будинки, що повністю чи переважно призначені для проживання (підгрупа 2): каркасно-комишитові та інші полегшені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сирцеві, збірно-щитові, каркасно-засипні, глинобитні, саманові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некласифіковані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Водокачки, стадіони, басейни, дороги, мости, пам’ятники, загорожі парків, скверів і загальних садів тощо (підгрупа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Лінії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електропередач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, трансмісії та трубопроводи з усіма проміжними пристроями, необхідними для трансформації (перетворення) і передачі енергії та для переміщення трубопроводами рідких та газоподібних речовин до споживача (підгрупа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Гідротехнічні споруди, у тому числі канали, дамби, водозахисні об’єкти,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колекторно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-дренажні мережі, водомірні пости та інші споруди (підгрупа 5):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греблі бетонні, залізобетонні, кам’яні, земляні, тунелі, водоскиди і водоприймачі, акведуки, лотки, дюкери і водопровідні споруди, рибопропускні і рибозахисні споруди, напірні трубопроводи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берегоукріплювальні та берегозахисні споруди залізобетонні, бетонні, кам’яні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гідротехнічні споруди дерев’яні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водосховища при земляних дамбах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водоскиди і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водовипуски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 при ставках: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бетонні та залізобетонні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дерев’яні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гідротехнічні споруди на каналах (шлюзи-регулятори, мости-відводи, дюкери, у тому числі стальні, акведуки, водоскиди кам’яні, бетонні і залізобетонні та інше)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зрошувальна і осушувальна мережа: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канали земляні без облицювання, канали, облицьовані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каменем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, бетоном, залізобетоном;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водозбірно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-скидна мережа із відкритих земляних каналів;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колекторно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-дренажні земляні канали без кріплення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 xml:space="preserve">закрита </w:t>
            </w:r>
            <w:proofErr w:type="spellStart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колекторно</w:t>
            </w:r>
            <w:proofErr w:type="spellEnd"/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-дренажна мережа: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канали із азбестоцементних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канали із гончарних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канали із пластмасових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водомірні 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Вимірювальні прилади, регулюючі прилади і пристрої, лабораторне обладнання, обчислювальна техніка, медичне обладнання, інші машини та обладнання (підгрупи 3–8)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Робочі машини та обладнання (підгрупа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Силові машини та обладнання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Рухомий склад залізничного, повітряного та іншого транспорту (підгрупи 1–2)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Корпуси та причепи автомобілів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Автомобілі легкові з двигуном внутрішнього згорання об’ємом циліндра (підгрупа 1):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до 2500 см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більше 2500 см куб.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Автомобілі вантажні (підгрупа 1): вантажопідйомністю до 5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вантажопідйомністю від 5 т до 20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вантажопідйомністю більше 20 т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Автобуси з двигуном внутрішнього згорання об’ємом циліндра (підгрупа 1):</w:t>
            </w:r>
          </w:p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до 2800 см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понад 2800 см куб.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Усі види гужового, виробничого та спортивного транспорту (підгрупи 3–5)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Інструменти, прилади та інвентар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Інструменти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Виробничий та господарський інвентар (підгрупи 2–3)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Робочі і продуктивні тварини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Тварини зоопарків та подібних установ, службові собаки (підгрупи 3,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Робоча, продуктивна та інша худоба (підгрупи 1,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</w:tr>
      <w:tr w:rsidR="00BF4B68" w:rsidRPr="00BF4B68" w:rsidTr="00BF4B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Багаторічні насадження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Культури ягідні (суниця)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Культури ягідні (крім суниці), плодові, овочеві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Культури ефіроолійні, лікарські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Насадження штучні ботанічних садів та інших науково-дослідних установ і навчальних закладів для науково-дослідних цілей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Насадження озеленювальні та декоративні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25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Захисні та інші лісні насадження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50</w:t>
            </w:r>
          </w:p>
        </w:tc>
      </w:tr>
      <w:tr w:rsidR="00BF4B68" w:rsidRPr="00BF4B68" w:rsidTr="00BF4B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довгострокові біологічні активи, не 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основні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основні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BF4B68" w:rsidRPr="00BF4B68" w:rsidTr="00BF4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Необоротні матеріальні активи спеціального призначення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Необоротні матеріальні активи спеціального призначення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20</w:t>
            </w:r>
          </w:p>
        </w:tc>
      </w:tr>
      <w:tr w:rsidR="00BF4B68" w:rsidRPr="00BF4B68" w:rsidTr="00BF4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BF4B68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Рядок виключено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B68" w:rsidRPr="00BF4B68" w:rsidRDefault="00BF4B68" w:rsidP="00BF4B6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uk-UA"/>
              </w:rPr>
            </w:pPr>
          </w:p>
        </w:tc>
      </w:tr>
    </w:tbl>
    <w:p w:rsidR="007428C8" w:rsidRPr="00BF4B68" w:rsidRDefault="007428C8" w:rsidP="00BF4B68">
      <w:pPr>
        <w:rPr>
          <w:rFonts w:ascii="Book Antiqua" w:hAnsi="Book Antiqua"/>
        </w:rPr>
      </w:pPr>
    </w:p>
    <w:sectPr w:rsidR="007428C8" w:rsidRPr="00BF4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B34"/>
    <w:multiLevelType w:val="hybridMultilevel"/>
    <w:tmpl w:val="89A02B00"/>
    <w:lvl w:ilvl="0" w:tplc="790EA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69"/>
    <w:rsid w:val="007428C8"/>
    <w:rsid w:val="007A73DB"/>
    <w:rsid w:val="00901C0C"/>
    <w:rsid w:val="00BF4B68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4B6E-F35A-41F3-BBAF-9C946C2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69"/>
    <w:rPr>
      <w:color w:val="0000FF"/>
      <w:u w:val="single"/>
    </w:rPr>
  </w:style>
  <w:style w:type="character" w:styleId="a4">
    <w:name w:val="Strong"/>
    <w:basedOn w:val="a0"/>
    <w:uiPriority w:val="22"/>
    <w:qFormat/>
    <w:rsid w:val="00EB6E69"/>
    <w:rPr>
      <w:b/>
      <w:bCs/>
    </w:rPr>
  </w:style>
  <w:style w:type="paragraph" w:styleId="a5">
    <w:name w:val="Normal (Web)"/>
    <w:basedOn w:val="a"/>
    <w:uiPriority w:val="99"/>
    <w:semiHidden/>
    <w:unhideWhenUsed/>
    <w:rsid w:val="00E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0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1C0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2017-09-15T14:46:00Z</dcterms:created>
  <dcterms:modified xsi:type="dcterms:W3CDTF">2017-09-15T15:47:00Z</dcterms:modified>
</cp:coreProperties>
</file>