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80B06" w:rsidRPr="00480B06" w:rsidRDefault="00480B06" w:rsidP="00480B06">
      <w:pPr>
        <w:shd w:val="clear" w:color="auto" w:fill="FFFFFF"/>
        <w:spacing w:after="0" w:line="510" w:lineRule="atLeas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6"/>
          <w:sz w:val="39"/>
          <w:szCs w:val="39"/>
          <w:lang w:eastAsia="uk-UA"/>
        </w:rPr>
      </w:pPr>
      <w:r w:rsidRPr="00480B06">
        <w:rPr>
          <w:rFonts w:ascii="Book Antiqua" w:eastAsia="Times New Roman" w:hAnsi="Book Antiqua" w:cs="Times New Roman"/>
          <w:b/>
          <w:bCs/>
          <w:kern w:val="36"/>
          <w:sz w:val="39"/>
          <w:szCs w:val="39"/>
          <w:lang w:eastAsia="uk-UA"/>
        </w:rPr>
        <w:t>Додаток 3 до Методичних рекомендацій щодо облікової політики суб’єкта державного сектору</w:t>
      </w:r>
    </w:p>
    <w:p w:rsidR="00480B06" w:rsidRPr="00480B06" w:rsidRDefault="00480B06" w:rsidP="00480B06">
      <w:pPr>
        <w:spacing w:after="0" w:line="300" w:lineRule="atLeast"/>
        <w:textAlignment w:val="baseline"/>
        <w:rPr>
          <w:rFonts w:ascii="Book Antiqua" w:eastAsia="Times New Roman" w:hAnsi="Book Antiqua" w:cs="Times New Roman"/>
          <w:sz w:val="21"/>
          <w:szCs w:val="21"/>
          <w:lang w:eastAsia="uk-UA"/>
        </w:rPr>
      </w:pPr>
      <w:r w:rsidRPr="00480B06">
        <w:rPr>
          <w:rFonts w:ascii="Book Antiqua" w:eastAsia="Times New Roman" w:hAnsi="Book Antiqua" w:cs="Times New Roman"/>
          <w:sz w:val="21"/>
          <w:szCs w:val="21"/>
          <w:bdr w:val="none" w:sz="0" w:space="0" w:color="auto" w:frame="1"/>
          <w:lang w:eastAsia="uk-UA"/>
        </w:rPr>
        <w:t>Автор :</w:t>
      </w:r>
      <w:r w:rsidRPr="00480B06">
        <w:rPr>
          <w:rFonts w:ascii="Book Antiqua" w:eastAsia="Times New Roman" w:hAnsi="Book Antiqua" w:cs="Times New Roman"/>
          <w:sz w:val="21"/>
          <w:szCs w:val="21"/>
          <w:lang w:eastAsia="uk-UA"/>
        </w:rPr>
        <w:t> </w:t>
      </w:r>
      <w:r w:rsidRPr="00480B06">
        <w:rPr>
          <w:rFonts w:ascii="Book Antiqua" w:eastAsia="Times New Roman" w:hAnsi="Book Antiqua" w:cs="Times New Roman"/>
          <w:sz w:val="21"/>
          <w:szCs w:val="21"/>
          <w:bdr w:val="none" w:sz="0" w:space="0" w:color="auto" w:frame="1"/>
          <w:lang w:eastAsia="uk-UA"/>
        </w:rPr>
        <w:t>Міністерство фінансів України</w:t>
      </w:r>
    </w:p>
    <w:p w:rsidR="00480B06" w:rsidRPr="00480B06" w:rsidRDefault="00480B06" w:rsidP="00480B06">
      <w:pPr>
        <w:spacing w:after="0" w:line="360" w:lineRule="atLeast"/>
        <w:ind w:firstLine="300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uk-UA"/>
        </w:rPr>
        <w:t>Приклад наказу про затвердження Положення про облікову політику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tbl>
      <w:tblPr>
        <w:tblW w:w="9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00"/>
      </w:tblGrid>
      <w:tr w:rsidR="00480B06" w:rsidRPr="00480B06" w:rsidTr="00480B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________________________________________________________</w:t>
            </w: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br/>
            </w: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(найменування суб’єкта державного сектору)</w:t>
            </w:r>
          </w:p>
        </w:tc>
      </w:tr>
    </w:tbl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p w:rsidR="00480B06" w:rsidRPr="00480B06" w:rsidRDefault="00480B06" w:rsidP="00480B06">
      <w:pPr>
        <w:spacing w:after="0" w:line="360" w:lineRule="atLeast"/>
        <w:ind w:firstLine="300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НАКАЗ</w:t>
      </w:r>
    </w:p>
    <w:tbl>
      <w:tblPr>
        <w:tblW w:w="9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6"/>
        <w:gridCol w:w="3267"/>
        <w:gridCol w:w="3267"/>
      </w:tblGrid>
      <w:tr w:rsidR="00480B06" w:rsidRPr="00480B06" w:rsidTr="00480B06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дата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(назва міста)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right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№ ____</w:t>
            </w:r>
          </w:p>
        </w:tc>
      </w:tr>
    </w:tbl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p w:rsidR="00480B06" w:rsidRPr="00480B06" w:rsidRDefault="00480B06" w:rsidP="00480B06">
      <w:pPr>
        <w:spacing w:after="0" w:line="360" w:lineRule="atLeast"/>
        <w:ind w:firstLine="300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uk-UA"/>
        </w:rPr>
        <w:t>Про затвердження Положення про облікову політику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Відповідно до Закону України «Про бухгалтерський облік та фінансову звітність в Україні», Типового положення про бухгалтерську службу бюджетної установи, затвердженого постановою Кабінету Міністрів України від 26 січня 2011 року № 59, Національного положення (стандарту) бухгалтерського обліку в державному секторі 125 «Зміни облікових оцінок та виправлення помилок», затвердженого наказом Міністерства фінансів України від 24 грудня 2010 року № 1629,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НАКАЗУЮ: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1 Затвердити Положення про облікову політику, що додається.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2. Керівнику Управління документообігу та контролю за виконанням документів ознайомити з наказом усіх керівників структурних підрозділів та спеціалістів бухгалтерської служби й відділу матеріально-технічного забезпечення.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3. Контроль за виконанням цього наказу залишаю за собою.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tbl>
      <w:tblPr>
        <w:tblW w:w="9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6"/>
        <w:gridCol w:w="2178"/>
        <w:gridCol w:w="2178"/>
        <w:gridCol w:w="2178"/>
      </w:tblGrid>
      <w:tr w:rsidR="00480B06" w:rsidRPr="00480B06" w:rsidTr="00480B06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_________________</w:t>
            </w:r>
          </w:p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(посада)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_________________</w:t>
            </w:r>
          </w:p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(підпис)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_________________</w:t>
            </w:r>
          </w:p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(ініціали, прізвище)</w:t>
            </w:r>
          </w:p>
        </w:tc>
      </w:tr>
    </w:tbl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tbl>
      <w:tblPr>
        <w:tblW w:w="9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6"/>
        <w:gridCol w:w="4554"/>
      </w:tblGrid>
      <w:tr w:rsidR="00480B06" w:rsidRPr="00480B06" w:rsidTr="00480B06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ЗАТВЕРДЖЕНО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Наказ ________________________________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(найменування суб’єкта державного сектору)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_______________ 201__ року № ___</w:t>
            </w:r>
          </w:p>
        </w:tc>
      </w:tr>
    </w:tbl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p w:rsidR="00480B06" w:rsidRPr="00480B06" w:rsidRDefault="00480B06" w:rsidP="00480B06">
      <w:pPr>
        <w:spacing w:after="0" w:line="360" w:lineRule="atLeast"/>
        <w:ind w:firstLine="300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uk-UA"/>
        </w:rPr>
        <w:t>Положення про облікову політику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1. Положення про облікову політику (далі — Положення) визначає методи оцінки, обліку і процедури, які застосовуються суб’єктом державного сектору для ведення бухгалтерського обліку, складання і подання фінансової та бюджетної звітності, не визначені національними положеннями (стандартами) бухгалтерського обліку в державному секторі або щодо яких передбачено більш ніж один їх варіант, а також строки корисного використання груп основних засобів та нематеріальних активів.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2. Одиницею аналітичного обліку запасів визнається їх найменування, додатково облік запасів здійснюється за номенклатурними номерами.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lastRenderedPageBreak/>
        <w:t>1) У місцях зберігання запасів матеріально відповідальні особи ведуть кількісний облік руху запасів в книзі складського обліку запасів за найменуваннями, номенклатурними номерами та кількістю. Щокварталу на дату балансу спеціаліст бухгалтерської служби, відповідальний за ведення обліку запасів, проводить вибіркову звірку фактичної наявності запасів із записами у книзі та даними бухгалтерського обліку.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2) У бухгалтерській службі облік запасів ведеться за найменуваннями, номенклатурними номерами в розрізі матеріально відповідальних осіб — в оборотних відомостях (за кожним субрахунком) в кількісному та сумарному вимірах.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3) Відпуск запасів у використання, виробництво, продаж, інше вибуття здійснювати за середньозваженою собівартістю, яка обчислюється при отриманні кожної партії запасів однотипних запасів.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4) Транспортно-заготівельні витрати, пов’язані з придбанням запасів, узагальнюються за окремими групами на окремому субрахунку. Сума транспортно-заготівельних витрат, що узагальнюється на окремому субрахунку рахунків обліку запасів, пропорційно відноситься на суму запасів, що вибули (використані, реалізовані, безоплатно передані тощо) за звітний місяць.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3. Амортизація необоротних активів нараховується виходячи зі строків корисного використання основних засобів та нематеріальних активів, визначених у додатках 1, 2 до цього Положення.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4. Нарахування амортизації проводиться на дату балансу (щокварталу).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5. У разі виправлення суттєвих помилок, які відносяться до попередніх періодів, та повторного складання фінансової звітності встановлюється поріг суттєвої помилки в розмірі _</w:t>
      </w:r>
      <w:r w:rsidR="00217FE2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%%</w:t>
      </w:r>
      <w:r w:rsidR="00217FE2">
        <w:rPr>
          <w:rStyle w:val="a5"/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footnoteReference w:id="1"/>
      </w: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__ відсотків відповідно до підсумку балансу.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bdr w:val="none" w:sz="0" w:space="0" w:color="auto" w:frame="1"/>
          <w:shd w:val="clear" w:color="auto" w:fill="BCF5D6"/>
          <w:lang w:eastAsia="uk-UA"/>
        </w:rPr>
        <w:t>6. Зміни до цього Положення вносяться лише у випадках, установлених у національних положеннях (стандартах) бухгалтерського обліку в державному секторі, та обов’язково обґрунтовуються і розкриваються у фінансовій звітності, а також у випадках, коли зміни до облікової політики сприятимуть більш достовірному відображенню в бухгалтерському обліку інформації про здійснені господарські операції.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tbl>
      <w:tblPr>
        <w:tblW w:w="99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6"/>
        <w:gridCol w:w="2178"/>
        <w:gridCol w:w="2178"/>
        <w:gridCol w:w="2178"/>
      </w:tblGrid>
      <w:tr w:rsidR="00480B06" w:rsidRPr="00480B06" w:rsidTr="00480B06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_________________</w:t>
            </w:r>
          </w:p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(посада)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_________________</w:t>
            </w:r>
          </w:p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(підпис)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_________________</w:t>
            </w:r>
          </w:p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(ініціали, прізвище)</w:t>
            </w:r>
          </w:p>
        </w:tc>
      </w:tr>
    </w:tbl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p w:rsidR="00480B06" w:rsidRPr="00480B06" w:rsidRDefault="00480B06" w:rsidP="00480B06">
      <w:pPr>
        <w:spacing w:after="0" w:line="360" w:lineRule="atLeast"/>
        <w:ind w:firstLine="300"/>
        <w:jc w:val="right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i/>
          <w:iCs/>
          <w:sz w:val="24"/>
          <w:szCs w:val="24"/>
          <w:bdr w:val="none" w:sz="0" w:space="0" w:color="auto" w:frame="1"/>
          <w:lang w:eastAsia="uk-UA"/>
        </w:rPr>
        <w:lastRenderedPageBreak/>
        <w:t>Додаток 1 до Положення про облікову політику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p w:rsidR="00480B06" w:rsidRPr="00480B06" w:rsidRDefault="00480B06" w:rsidP="00480B06">
      <w:pPr>
        <w:spacing w:after="0" w:line="360" w:lineRule="atLeast"/>
        <w:ind w:firstLine="300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uk-UA"/>
        </w:rPr>
        <w:t>Строки корисного використання основних засобів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1878"/>
        <w:gridCol w:w="5437"/>
        <w:gridCol w:w="2076"/>
      </w:tblGrid>
      <w:tr w:rsidR="00480B06" w:rsidRPr="00480B06" w:rsidTr="00480B0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Назва субрахунку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Назва підгрупи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Строк корисного використання, років</w:t>
            </w:r>
          </w:p>
        </w:tc>
      </w:tr>
      <w:tr w:rsidR="00480B06" w:rsidRPr="00480B06" w:rsidTr="00480B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Будинки та споруди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Будинки виробничо-господарського призначення (підгрупа 1):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з плівкових матеріалів, збірно-розбірні, пересувні, кіоски, ларьки, альтанки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дерев’яні, каркасні і щитові, контейнерні, дерево-металеві, каркасно-обшивні і панельні, глинобитні, сирцеві, саманові та інші аналогічні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без каркасів зі стінами полегшеної кам’яної кладки, залізобетонними, цегляними і дерев’яними колонами та стовпами, із залізобетонними, дерев’яними та іншими перекриттями; дерев’яні з брущатими або зробленими з колод рубаними стінами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25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із залізобетонними і металевими каркасами, зі стінами з кам’яних матеріалів, великих блоків і панелей, із залізобетонними, металевими, іншими довговічними покриттями та інші некласифіковані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Будинки, що повністю чи переважно призначені для проживання (підгрупа 2): 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каркасно-комишитові та інші полегшені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15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сирцеві, збірно-щитові, каркасно-засипні, глинобитні, саманові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інші некласифіковані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Водокачки, стадіони, басейни, дороги, мости, пам’ятники, загорожі парків, скверів і загальних садів тощо (підгрупа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 xml:space="preserve">Лінії </w:t>
            </w:r>
            <w:proofErr w:type="spellStart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електропередач</w:t>
            </w:r>
            <w:proofErr w:type="spellEnd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, трансмісії та трубопроводи з усіма проміжними пристроями, необхідними для трансформації (перетворення) і передачі енергії та для переміщення трубопроводами рідких та газоподібних речовин до споживача (підгрупа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 xml:space="preserve">Гідротехнічні споруди, у тому числі канали, дамби, водозахисні об’єкти, </w:t>
            </w:r>
            <w:proofErr w:type="spellStart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колекторно</w:t>
            </w:r>
            <w:proofErr w:type="spellEnd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-дренажні мережі, водомірні пости та інші споруди (підгрупа 5):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греблі бетонні, залізобетонні, кам’яні, земляні, тунелі, водоскиди і водоприймачі, акведуки, лотки, дюкери і водопровідні споруди, рибопропускні і рибозахисні споруди, напірні трубопроводи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берегоукріплювальні та берегозахисні споруди залізобетонні, бетонні, кам’яні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40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гідротехнічні споруди дерев’яні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водосховища при земляних дамбах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 xml:space="preserve">водоскиди і </w:t>
            </w:r>
            <w:proofErr w:type="spellStart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водовипуски</w:t>
            </w:r>
            <w:proofErr w:type="spellEnd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 xml:space="preserve"> при ставках: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бетонні та залізобетонні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40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дерев’яні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гідротехнічні споруди на каналах (шлюзи-регулятори, мости-відводи, дюкери, у тому числі стальні, акведуки, водоскиди кам’яні, бетонні і залізобетонні та інше)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40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зрошувальна і осушувальна мережа: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 xml:space="preserve">канали земляні без облицювання, канали, облицьовані </w:t>
            </w:r>
            <w:proofErr w:type="spellStart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каменем</w:t>
            </w:r>
            <w:proofErr w:type="spellEnd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 xml:space="preserve">, бетоном, залізобетоном; </w:t>
            </w:r>
            <w:proofErr w:type="spellStart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водозбірно</w:t>
            </w:r>
            <w:proofErr w:type="spellEnd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 xml:space="preserve">-скидна мережа із </w:t>
            </w: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lastRenderedPageBreak/>
              <w:t xml:space="preserve">відкритих земляних каналів; </w:t>
            </w:r>
            <w:proofErr w:type="spellStart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колекторно</w:t>
            </w:r>
            <w:proofErr w:type="spellEnd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-дренажні земляні канали без кріплення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lastRenderedPageBreak/>
              <w:t>40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 xml:space="preserve">закрита </w:t>
            </w:r>
            <w:proofErr w:type="spellStart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колекторно</w:t>
            </w:r>
            <w:proofErr w:type="spellEnd"/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-дренажна мережа: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канали із азбестоцементних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40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канали із гончарних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канали із пластмасових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водомірні пости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Вимірювальні прилади, регулюючі прилади і пристрої, лабораторне обладнання, обчислювальна техніка, медичне обладнання, інші машини та обладнання (підгрупи 3–8)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Робочі машини та обладнання (підгрупа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15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Силові машини та обладнання (підгрупа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Рухомий склад залізничного, повітряного та іншого транспорту (підгрупи 1–2)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Корпуси та причепи автомобілів (підгрупа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Автомобілі легкові з двигуном внутрішнього згорання об’ємом циліндра (підгрупа 1):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до 2500 см куб.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7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більше 2500 см куб. та 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Автомобілі вантажні (підгрупа 1): 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вантажопідйомністю до 5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7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вантажопідйомністю від 5 т до 20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7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вантажопідйомністю більше 20 т та 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7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Автобуси з двигуном внутрішнього згорання об’ємом циліндра (підгрупа 1):</w:t>
            </w:r>
          </w:p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до 2800 см куб.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7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понад 2800 см куб. та інші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Усі види гужового, виробничого та спортивного транспорту (підгрупи 3–5)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</w:t>
            </w:r>
          </w:p>
        </w:tc>
      </w:tr>
      <w:tr w:rsidR="00480B06" w:rsidRPr="00480B06" w:rsidTr="00480B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Інструменти, прилади та інвентар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Інструменти (підгрупа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Виробничий та господарський інвентар (підгрупи 2–3)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Робочі і продуктивні тварини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Тварини зоопарків та подібних установ, службові собаки (підгрупи 3,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Робоча, продуктивна та інша худоба (підгрупи 1,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7</w:t>
            </w:r>
          </w:p>
        </w:tc>
      </w:tr>
      <w:tr w:rsidR="00480B06" w:rsidRPr="00480B06" w:rsidTr="00480B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Багаторічні насадження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Культури ягідні (суниця)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3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Культури ягідні (крім суниці), плодові, овочеві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Культури ефіроолійні, лікарські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Насадження штучні ботанічних садів та інших науково-дослідних установ і навчальних закладів для науково-дослідних цілей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Насадження озеленювальні та декоративні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25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Захисні та інші лісні насадження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50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Інші довгострокові біологічні активи, не класифіковані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20</w:t>
            </w:r>
          </w:p>
        </w:tc>
      </w:tr>
      <w:tr w:rsidR="00480B06" w:rsidRPr="00480B06" w:rsidTr="00480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Інші основні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Інші основні засоби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10</w:t>
            </w:r>
          </w:p>
        </w:tc>
      </w:tr>
      <w:tr w:rsidR="00480B06" w:rsidRPr="00480B06" w:rsidTr="00480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 xml:space="preserve">Необоротні матеріальні активи </w:t>
            </w: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lastRenderedPageBreak/>
              <w:t>спеціального призначення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lastRenderedPageBreak/>
              <w:t>Необоротні матеріальні активи спеціального призначення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20</w:t>
            </w:r>
          </w:p>
        </w:tc>
      </w:tr>
    </w:tbl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p w:rsidR="00480B06" w:rsidRPr="00480B06" w:rsidRDefault="00480B06" w:rsidP="00480B06">
      <w:pPr>
        <w:spacing w:after="0" w:line="360" w:lineRule="atLeast"/>
        <w:ind w:firstLine="300"/>
        <w:jc w:val="right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i/>
          <w:iCs/>
          <w:sz w:val="24"/>
          <w:szCs w:val="24"/>
          <w:bdr w:val="none" w:sz="0" w:space="0" w:color="auto" w:frame="1"/>
          <w:lang w:eastAsia="uk-UA"/>
        </w:rPr>
        <w:t>Додаток 2 до Положення про облікову політику</w:t>
      </w:r>
    </w:p>
    <w:p w:rsidR="00480B06" w:rsidRPr="00480B06" w:rsidRDefault="00480B06" w:rsidP="00480B06">
      <w:pPr>
        <w:spacing w:after="0" w:line="360" w:lineRule="atLeast"/>
        <w:ind w:firstLine="300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sz w:val="24"/>
          <w:szCs w:val="24"/>
          <w:lang w:eastAsia="uk-UA"/>
        </w:rPr>
        <w:t> </w:t>
      </w:r>
    </w:p>
    <w:p w:rsidR="00480B06" w:rsidRPr="00480B06" w:rsidRDefault="00480B06" w:rsidP="00480B06">
      <w:pPr>
        <w:spacing w:after="0" w:line="360" w:lineRule="atLeast"/>
        <w:ind w:firstLine="300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480B06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uk-UA"/>
        </w:rPr>
        <w:t>Строки корисного використання нематеріальних активів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1582"/>
        <w:gridCol w:w="5338"/>
        <w:gridCol w:w="2471"/>
      </w:tblGrid>
      <w:tr w:rsidR="00480B06" w:rsidRPr="00480B06" w:rsidTr="00480B06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Назва субрахунку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Назва підгрупи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Строк корисного використання, років</w:t>
            </w:r>
          </w:p>
        </w:tc>
      </w:tr>
      <w:tr w:rsidR="00480B06" w:rsidRPr="00480B06" w:rsidTr="00480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</w:pPr>
          </w:p>
        </w:tc>
      </w:tr>
      <w:tr w:rsidR="00480B06" w:rsidRPr="00480B06" w:rsidTr="00480B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Авторські та суміжні з ними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Авторське право та суміжні з ним права: право на літературні, художні, музичні твори, комп’ютерні програми, програми для електронно-обчислювальних машин, компіляції даних (бази даних), фонограми, відеограми, передачі (програми) організацій мовлення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Відповідно до правовстановлюючого документа, але не менш як 2 роки</w:t>
            </w:r>
          </w:p>
        </w:tc>
      </w:tr>
      <w:tr w:rsidR="00480B06" w:rsidRPr="00480B06" w:rsidTr="00480B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Інші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Права користування природними ресурсами: право користування надрами, іншими ресурсами природного середовища, геологічною та іншою інформацією про природне середовище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Відповідно до правовстановлюючого документа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Права користування майном: право користування земельною ділянкою, крім права постійного користування земельною ділянкою, право користування будівлею, право на оренду приміщень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Відповідно до правовстановлюючого документа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Права на знаки для товарів і послуг: товарні знаки, торгові марки, фірмові найменування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Відповідно до правовстановлюючого документа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Права на об’єкти промислової власності: право на винаходи, розробки, корисні моделі, промислові зразки, сорти рослин, породи тварин, захист від недобросовісної конкуренції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Відповідно до правовстановлюючого документа, але не менш як 5 років</w:t>
            </w:r>
          </w:p>
        </w:tc>
      </w:tr>
      <w:tr w:rsidR="00480B06" w:rsidRPr="00480B06" w:rsidTr="00480B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0B06" w:rsidRPr="00480B06" w:rsidRDefault="00480B06" w:rsidP="00480B0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Інші нематеріальні активи: право на провадження діяльності, використання економічних та інших привілеїв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B06" w:rsidRPr="00480B06" w:rsidRDefault="00480B06" w:rsidP="00480B06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480B06">
              <w:rPr>
                <w:rFonts w:ascii="Book Antiqua" w:eastAsia="Times New Roman" w:hAnsi="Book Antiqua" w:cs="Times New Roman"/>
                <w:sz w:val="18"/>
                <w:szCs w:val="18"/>
                <w:bdr w:val="none" w:sz="0" w:space="0" w:color="auto" w:frame="1"/>
                <w:shd w:val="clear" w:color="auto" w:fill="BCF5D6"/>
                <w:lang w:eastAsia="uk-UA"/>
              </w:rPr>
              <w:t>Відповідно до правовстановлюючого документа</w:t>
            </w:r>
          </w:p>
        </w:tc>
      </w:tr>
    </w:tbl>
    <w:p w:rsidR="007A73DB" w:rsidRPr="00480B06" w:rsidRDefault="007A73DB">
      <w:pPr>
        <w:rPr>
          <w:rFonts w:ascii="Book Antiqua" w:hAnsi="Book Antiqua"/>
          <w:b/>
        </w:rPr>
      </w:pPr>
    </w:p>
    <w:sectPr w:rsidR="007A73DB" w:rsidRPr="00480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C3" w:rsidRDefault="00A430C3" w:rsidP="00217FE2">
      <w:pPr>
        <w:spacing w:after="0" w:line="240" w:lineRule="auto"/>
      </w:pPr>
      <w:r>
        <w:separator/>
      </w:r>
    </w:p>
  </w:endnote>
  <w:endnote w:type="continuationSeparator" w:id="0">
    <w:p w:rsidR="00A430C3" w:rsidRDefault="00A430C3" w:rsidP="0021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C3" w:rsidRDefault="00A430C3" w:rsidP="00217FE2">
      <w:pPr>
        <w:spacing w:after="0" w:line="240" w:lineRule="auto"/>
      </w:pPr>
      <w:r>
        <w:separator/>
      </w:r>
    </w:p>
  </w:footnote>
  <w:footnote w:type="continuationSeparator" w:id="0">
    <w:p w:rsidR="00A430C3" w:rsidRDefault="00A430C3" w:rsidP="00217FE2">
      <w:pPr>
        <w:spacing w:after="0" w:line="240" w:lineRule="auto"/>
      </w:pPr>
      <w:r>
        <w:continuationSeparator/>
      </w:r>
    </w:p>
  </w:footnote>
  <w:footnote w:id="1">
    <w:p w:rsidR="00217FE2" w:rsidRPr="0057767E" w:rsidRDefault="00217FE2" w:rsidP="00217FE2">
      <w:pPr>
        <w:pStyle w:val="footnote"/>
        <w:spacing w:before="0" w:beforeAutospacing="0" w:after="0" w:afterAutospacing="0" w:line="360" w:lineRule="atLeast"/>
        <w:textAlignment w:val="baseline"/>
        <w:rPr>
          <w:color w:val="242424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217FE2">
        <w:rPr>
          <w:i/>
          <w:iCs/>
          <w:color w:val="242424"/>
          <w:sz w:val="16"/>
          <w:szCs w:val="16"/>
          <w:bdr w:val="none" w:sz="0" w:space="0" w:color="auto" w:frame="1"/>
        </w:rPr>
        <w:t xml:space="preserve">Проведення переоцінки установою ускладнено необхідністю визначення справедливої вартості активів, що вимагає додаткових фінансових витрат </w:t>
      </w:r>
      <w:bookmarkStart w:id="0" w:name="_GoBack"/>
      <w:bookmarkEnd w:id="0"/>
      <w:r w:rsidRPr="00217FE2">
        <w:rPr>
          <w:i/>
          <w:iCs/>
          <w:color w:val="242424"/>
          <w:sz w:val="16"/>
          <w:szCs w:val="16"/>
          <w:bdr w:val="none" w:sz="0" w:space="0" w:color="auto" w:frame="1"/>
        </w:rPr>
        <w:t>для оплати проведення такої оцінки суб’єктами оціночної діяльності та надання ними довідок про оцінку. Такі витрати бюджетними установами на 2017 рік не заплановані та в умовах обмеженого фінансування можуть бути і не профінансовані. У зв’язку з цим для проведення переоцінки доцільно у 2017 році керуватись розпорядженнями забезпечувальних органів за видами майна або головного розпорядника коштів бюджетної установи.</w:t>
      </w:r>
    </w:p>
    <w:p w:rsidR="00217FE2" w:rsidRDefault="00217FE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06"/>
    <w:rsid w:val="00217FE2"/>
    <w:rsid w:val="00480B06"/>
    <w:rsid w:val="007A73DB"/>
    <w:rsid w:val="00A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B362-F419-4DEC-B0D8-5EA30E03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7F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7F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7FE2"/>
    <w:rPr>
      <w:vertAlign w:val="superscript"/>
    </w:rPr>
  </w:style>
  <w:style w:type="paragraph" w:customStyle="1" w:styleId="footnote">
    <w:name w:val="footnote"/>
    <w:basedOn w:val="a"/>
    <w:rsid w:val="0021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8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6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56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79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6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917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91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57D84CD-C777-4E4C-97C4-A605A12E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6477</Words>
  <Characters>3692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2</cp:revision>
  <dcterms:created xsi:type="dcterms:W3CDTF">2017-09-15T15:48:00Z</dcterms:created>
  <dcterms:modified xsi:type="dcterms:W3CDTF">2017-09-17T15:12:00Z</dcterms:modified>
</cp:coreProperties>
</file>