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4E" w:rsidRPr="00C5474E" w:rsidRDefault="00C5474E" w:rsidP="00C5474E">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C5474E">
        <w:rPr>
          <w:rFonts w:ascii="Tahoma" w:eastAsia="Times New Roman" w:hAnsi="Tahoma" w:cs="Tahoma"/>
          <w:color w:val="252525"/>
          <w:sz w:val="20"/>
          <w:szCs w:val="20"/>
          <w:lang w:eastAsia="uk-UA"/>
        </w:rPr>
        <w:t>МІНІСТЕРСТВО СОЦІАЛЬНОЇ ПОЛІТИКИ УКРАЇНИ</w:t>
      </w:r>
    </w:p>
    <w:p w:rsidR="00C5474E" w:rsidRPr="00C5474E" w:rsidRDefault="00C5474E" w:rsidP="00C5474E">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C5474E">
        <w:rPr>
          <w:rFonts w:ascii="Tahoma" w:eastAsia="Times New Roman" w:hAnsi="Tahoma" w:cs="Tahoma"/>
          <w:color w:val="252525"/>
          <w:sz w:val="20"/>
          <w:szCs w:val="20"/>
          <w:lang w:eastAsia="uk-UA"/>
        </w:rPr>
        <w:t>ЛИСТ</w:t>
      </w:r>
      <w:r w:rsidRPr="00C5474E">
        <w:rPr>
          <w:rFonts w:ascii="Tahoma" w:eastAsia="Times New Roman" w:hAnsi="Tahoma" w:cs="Tahoma"/>
          <w:color w:val="252525"/>
          <w:sz w:val="20"/>
          <w:szCs w:val="20"/>
          <w:lang w:eastAsia="uk-UA"/>
        </w:rPr>
        <w:br/>
        <w:t>30.11.2011 N 1079/13/84-11</w:t>
      </w:r>
    </w:p>
    <w:p w:rsidR="00C5474E" w:rsidRPr="00C5474E" w:rsidRDefault="00C5474E" w:rsidP="00C5474E">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C5474E">
        <w:rPr>
          <w:rFonts w:ascii="Tahoma" w:eastAsia="Times New Roman" w:hAnsi="Tahoma" w:cs="Tahoma"/>
          <w:b/>
          <w:bCs/>
          <w:color w:val="252525"/>
          <w:sz w:val="20"/>
          <w:szCs w:val="20"/>
          <w:lang w:eastAsia="uk-UA"/>
        </w:rPr>
        <w:t>Щодо оплати праці та розрахунку</w:t>
      </w:r>
      <w:r w:rsidRPr="00C5474E">
        <w:rPr>
          <w:rFonts w:ascii="Tahoma" w:eastAsia="Times New Roman" w:hAnsi="Tahoma" w:cs="Tahoma"/>
          <w:b/>
          <w:bCs/>
          <w:color w:val="252525"/>
          <w:sz w:val="20"/>
          <w:szCs w:val="20"/>
          <w:lang w:eastAsia="uk-UA"/>
        </w:rPr>
        <w:br/>
        <w:t>штатної чисельності деяких категорій</w:t>
      </w:r>
      <w:r w:rsidRPr="00C5474E">
        <w:rPr>
          <w:rFonts w:ascii="Tahoma" w:eastAsia="Times New Roman" w:hAnsi="Tahoma" w:cs="Tahoma"/>
          <w:b/>
          <w:bCs/>
          <w:color w:val="252525"/>
          <w:sz w:val="20"/>
          <w:szCs w:val="20"/>
          <w:lang w:eastAsia="uk-UA"/>
        </w:rPr>
        <w:br/>
        <w:t>працівників бюджетних установ</w:t>
      </w:r>
    </w:p>
    <w:p w:rsidR="00C5474E" w:rsidRPr="00C5474E" w:rsidRDefault="00C5474E" w:rsidP="00C5474E">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C5474E">
        <w:rPr>
          <w:rFonts w:ascii="Tahoma" w:eastAsia="Times New Roman" w:hAnsi="Tahoma" w:cs="Tahoma"/>
          <w:color w:val="252525"/>
          <w:sz w:val="20"/>
          <w:szCs w:val="20"/>
          <w:lang w:eastAsia="uk-UA"/>
        </w:rPr>
        <w:t>Міністерство соціальної політики України &lt;...&gt; розглянуло листа щодо порушених питань і в межах компетенції повідомляє.</w:t>
      </w:r>
    </w:p>
    <w:p w:rsidR="00C5474E" w:rsidRPr="00C5474E" w:rsidRDefault="00C5474E" w:rsidP="00C5474E">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C5474E">
        <w:rPr>
          <w:rFonts w:ascii="Tahoma" w:eastAsia="Times New Roman" w:hAnsi="Tahoma" w:cs="Tahoma"/>
          <w:color w:val="252525"/>
          <w:sz w:val="20"/>
          <w:szCs w:val="20"/>
          <w:lang w:eastAsia="uk-UA"/>
        </w:rPr>
        <w:t>Згідно із </w:t>
      </w:r>
      <w:bookmarkStart w:id="0" w:name="_GoBack"/>
      <w:bookmarkEnd w:id="0"/>
      <w:r w:rsidRPr="00C5474E">
        <w:rPr>
          <w:rFonts w:ascii="Tahoma" w:eastAsia="Times New Roman" w:hAnsi="Tahoma" w:cs="Tahoma"/>
          <w:color w:val="006699"/>
          <w:sz w:val="20"/>
          <w:szCs w:val="20"/>
          <w:u w:val="single"/>
          <w:lang w:eastAsia="uk-UA"/>
        </w:rPr>
        <w:t>статтею 57</w:t>
      </w:r>
      <w:r w:rsidRPr="00C5474E">
        <w:rPr>
          <w:rFonts w:ascii="Tahoma" w:eastAsia="Times New Roman" w:hAnsi="Tahoma" w:cs="Tahoma"/>
          <w:color w:val="252525"/>
          <w:sz w:val="20"/>
          <w:szCs w:val="20"/>
          <w:lang w:eastAsia="uk-UA"/>
        </w:rPr>
        <w:t> Закону України "Про освіту" ( 1060-12 ) держава забезпечує виплату педагогічним та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C5474E" w:rsidRPr="00C5474E" w:rsidRDefault="00C5474E" w:rsidP="00C5474E">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C5474E">
        <w:rPr>
          <w:rFonts w:ascii="Tahoma" w:eastAsia="Times New Roman" w:hAnsi="Tahoma" w:cs="Tahoma"/>
          <w:color w:val="252525"/>
          <w:sz w:val="20"/>
          <w:szCs w:val="20"/>
          <w:lang w:eastAsia="uk-UA"/>
        </w:rPr>
        <w:t>Допомога на оздоровлення при наданні щорічної відпустки виплачується працівникам, які посідають посади педагогічних чи науково-педагогічних працівників (за основною посадою), у розмірі їх місячного посадового окладу (ставки заробітної плати) незалежно від тижневого (річного) навчального навантаження чи обсягу виконуваної роботи. При цьому виплата допомоги провадиться цим працівникам лише за місцем основної роботи при наданні чергових відпусток згідно з графіком їх надання.</w:t>
      </w:r>
    </w:p>
    <w:p w:rsidR="00C5474E" w:rsidRPr="00C5474E" w:rsidRDefault="00C5474E" w:rsidP="00C5474E">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C5474E">
        <w:rPr>
          <w:rFonts w:ascii="Tahoma" w:eastAsia="Times New Roman" w:hAnsi="Tahoma" w:cs="Tahoma"/>
          <w:color w:val="252525"/>
          <w:sz w:val="20"/>
          <w:szCs w:val="20"/>
          <w:lang w:eastAsia="uk-UA"/>
        </w:rPr>
        <w:t>Штатна чисельність працівників дошкільних навчальних закладів розраховується відповідно до </w:t>
      </w:r>
      <w:r w:rsidRPr="00C5474E">
        <w:rPr>
          <w:rFonts w:ascii="Tahoma" w:eastAsia="Times New Roman" w:hAnsi="Tahoma" w:cs="Tahoma"/>
          <w:color w:val="006699"/>
          <w:sz w:val="20"/>
          <w:szCs w:val="20"/>
          <w:u w:val="single"/>
          <w:lang w:eastAsia="uk-UA"/>
        </w:rPr>
        <w:t>Типових штатних нормативів</w:t>
      </w:r>
      <w:r w:rsidRPr="00C5474E">
        <w:rPr>
          <w:rFonts w:ascii="Tahoma" w:eastAsia="Times New Roman" w:hAnsi="Tahoma" w:cs="Tahoma"/>
          <w:color w:val="252525"/>
          <w:sz w:val="20"/>
          <w:szCs w:val="20"/>
          <w:lang w:eastAsia="uk-UA"/>
        </w:rPr>
        <w:t> дошкільних навчальних закладів (далі - Типові штатні нормативи), затверджених наказом Міністерства освіти і науки України від 04.11.2010 р. N 1055.</w:t>
      </w:r>
    </w:p>
    <w:p w:rsidR="00C5474E" w:rsidRPr="00C5474E" w:rsidRDefault="00C5474E" w:rsidP="00C5474E">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C5474E">
        <w:rPr>
          <w:rFonts w:ascii="Tahoma" w:eastAsia="Times New Roman" w:hAnsi="Tahoma" w:cs="Tahoma"/>
          <w:color w:val="252525"/>
          <w:sz w:val="20"/>
          <w:szCs w:val="20"/>
          <w:lang w:eastAsia="uk-UA"/>
        </w:rPr>
        <w:t>Згідно з пунктом 9 Типових штатних нормативів кількість робітників з комплексного обслуговування й ремонту будинків визначається відповідно до </w:t>
      </w:r>
      <w:r w:rsidRPr="00C5474E">
        <w:rPr>
          <w:rFonts w:ascii="Tahoma" w:eastAsia="Times New Roman" w:hAnsi="Tahoma" w:cs="Tahoma"/>
          <w:color w:val="006699"/>
          <w:sz w:val="20"/>
          <w:szCs w:val="20"/>
          <w:u w:val="single"/>
          <w:lang w:eastAsia="uk-UA"/>
        </w:rPr>
        <w:t>Міжгалузевих норм</w:t>
      </w:r>
      <w:r w:rsidRPr="00C5474E">
        <w:rPr>
          <w:rFonts w:ascii="Tahoma" w:eastAsia="Times New Roman" w:hAnsi="Tahoma" w:cs="Tahoma"/>
          <w:color w:val="252525"/>
          <w:sz w:val="20"/>
          <w:szCs w:val="20"/>
          <w:lang w:eastAsia="uk-UA"/>
        </w:rPr>
        <w:t> чисельності робітників, що обслуговують громадські будівлі (далі - Міжгалузеві норми), затверджених наказом Міністерства праці та соціальної політики України від 11.05.2004 р. N 105.</w:t>
      </w:r>
    </w:p>
    <w:p w:rsidR="00C5474E" w:rsidRPr="00C5474E" w:rsidRDefault="00C5474E" w:rsidP="00C5474E">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C5474E">
        <w:rPr>
          <w:rFonts w:ascii="Tahoma" w:eastAsia="Times New Roman" w:hAnsi="Tahoma" w:cs="Tahoma"/>
          <w:color w:val="252525"/>
          <w:sz w:val="20"/>
          <w:szCs w:val="20"/>
          <w:lang w:eastAsia="uk-UA"/>
        </w:rPr>
        <w:t>Водночас у листі МОН від </w:t>
      </w:r>
      <w:r w:rsidRPr="00C5474E">
        <w:rPr>
          <w:rFonts w:ascii="Tahoma" w:eastAsia="Times New Roman" w:hAnsi="Tahoma" w:cs="Tahoma"/>
          <w:color w:val="006699"/>
          <w:sz w:val="20"/>
          <w:szCs w:val="20"/>
          <w:u w:val="single"/>
          <w:lang w:eastAsia="uk-UA"/>
        </w:rPr>
        <w:t>18.02.2011 р. N 1/9-114</w:t>
      </w:r>
      <w:r w:rsidRPr="00C5474E">
        <w:rPr>
          <w:rFonts w:ascii="Tahoma" w:eastAsia="Times New Roman" w:hAnsi="Tahoma" w:cs="Tahoma"/>
          <w:color w:val="252525"/>
          <w:sz w:val="20"/>
          <w:szCs w:val="20"/>
          <w:lang w:eastAsia="uk-UA"/>
        </w:rPr>
        <w:t> "Про застосування Типових штатних нормативів дошкільних навчальних закладів" визначено, що штатні нормативи загальної чисельності робітників з комплексного обслуговування й ремонту будинків розраховуються за формулою</w:t>
      </w:r>
    </w:p>
    <w:p w:rsidR="00C5474E" w:rsidRPr="00C5474E" w:rsidRDefault="00C5474E" w:rsidP="00C54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C5474E">
        <w:rPr>
          <w:rFonts w:ascii="Courier New" w:eastAsia="Times New Roman" w:hAnsi="Courier New" w:cs="Courier New"/>
          <w:color w:val="252525"/>
          <w:sz w:val="20"/>
          <w:szCs w:val="20"/>
          <w:lang w:eastAsia="uk-UA"/>
        </w:rPr>
        <w:t xml:space="preserve">                          Ч   = Ч  х К ,</w:t>
      </w:r>
      <w:r w:rsidRPr="00C5474E">
        <w:rPr>
          <w:rFonts w:ascii="Courier New" w:eastAsia="Times New Roman" w:hAnsi="Courier New" w:cs="Courier New"/>
          <w:color w:val="252525"/>
          <w:sz w:val="20"/>
          <w:szCs w:val="20"/>
          <w:lang w:eastAsia="uk-UA"/>
        </w:rPr>
        <w:br/>
        <w:t xml:space="preserve">                           </w:t>
      </w:r>
      <w:proofErr w:type="spellStart"/>
      <w:r w:rsidRPr="00C5474E">
        <w:rPr>
          <w:rFonts w:ascii="Courier New" w:eastAsia="Times New Roman" w:hAnsi="Courier New" w:cs="Courier New"/>
          <w:color w:val="252525"/>
          <w:sz w:val="20"/>
          <w:szCs w:val="20"/>
          <w:lang w:eastAsia="uk-UA"/>
        </w:rPr>
        <w:t>зс</w:t>
      </w:r>
      <w:proofErr w:type="spellEnd"/>
      <w:r w:rsidRPr="00C5474E">
        <w:rPr>
          <w:rFonts w:ascii="Courier New" w:eastAsia="Times New Roman" w:hAnsi="Courier New" w:cs="Courier New"/>
          <w:color w:val="252525"/>
          <w:sz w:val="20"/>
          <w:szCs w:val="20"/>
          <w:lang w:eastAsia="uk-UA"/>
        </w:rPr>
        <w:t xml:space="preserve">    н    </w:t>
      </w:r>
      <w:proofErr w:type="spellStart"/>
      <w:r w:rsidRPr="00C5474E">
        <w:rPr>
          <w:rFonts w:ascii="Courier New" w:eastAsia="Times New Roman" w:hAnsi="Courier New" w:cs="Courier New"/>
          <w:color w:val="252525"/>
          <w:sz w:val="20"/>
          <w:szCs w:val="20"/>
          <w:lang w:eastAsia="uk-UA"/>
        </w:rPr>
        <w:t>н</w:t>
      </w:r>
      <w:proofErr w:type="spellEnd"/>
    </w:p>
    <w:p w:rsidR="00C5474E" w:rsidRPr="00C5474E" w:rsidRDefault="00C5474E" w:rsidP="00C5474E">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C5474E">
        <w:rPr>
          <w:rFonts w:ascii="Tahoma" w:eastAsia="Times New Roman" w:hAnsi="Tahoma" w:cs="Tahoma"/>
          <w:color w:val="252525"/>
          <w:sz w:val="20"/>
          <w:szCs w:val="20"/>
          <w:lang w:eastAsia="uk-UA"/>
        </w:rPr>
        <w:t xml:space="preserve">де: </w:t>
      </w:r>
      <w:proofErr w:type="spellStart"/>
      <w:r w:rsidRPr="00C5474E">
        <w:rPr>
          <w:rFonts w:ascii="Tahoma" w:eastAsia="Times New Roman" w:hAnsi="Tahoma" w:cs="Tahoma"/>
          <w:color w:val="252525"/>
          <w:sz w:val="20"/>
          <w:szCs w:val="20"/>
          <w:lang w:eastAsia="uk-UA"/>
        </w:rPr>
        <w:t>Ч</w:t>
      </w:r>
      <w:r w:rsidRPr="00C5474E">
        <w:rPr>
          <w:rFonts w:ascii="Tahoma" w:eastAsia="Times New Roman" w:hAnsi="Tahoma" w:cs="Tahoma"/>
          <w:color w:val="252525"/>
          <w:sz w:val="20"/>
          <w:szCs w:val="20"/>
          <w:vertAlign w:val="subscript"/>
          <w:lang w:eastAsia="uk-UA"/>
        </w:rPr>
        <w:t>зс</w:t>
      </w:r>
      <w:proofErr w:type="spellEnd"/>
      <w:r w:rsidRPr="00C5474E">
        <w:rPr>
          <w:rFonts w:ascii="Tahoma" w:eastAsia="Times New Roman" w:hAnsi="Tahoma" w:cs="Tahoma"/>
          <w:color w:val="252525"/>
          <w:sz w:val="20"/>
          <w:szCs w:val="20"/>
          <w:lang w:eastAsia="uk-UA"/>
        </w:rPr>
        <w:t> - загальна чисельність працівників;</w:t>
      </w:r>
    </w:p>
    <w:p w:rsidR="00C5474E" w:rsidRPr="00C5474E" w:rsidRDefault="00C5474E" w:rsidP="00C5474E">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proofErr w:type="spellStart"/>
      <w:r w:rsidRPr="00C5474E">
        <w:rPr>
          <w:rFonts w:ascii="Tahoma" w:eastAsia="Times New Roman" w:hAnsi="Tahoma" w:cs="Tahoma"/>
          <w:color w:val="252525"/>
          <w:sz w:val="20"/>
          <w:szCs w:val="20"/>
          <w:lang w:eastAsia="uk-UA"/>
        </w:rPr>
        <w:t>Ч</w:t>
      </w:r>
      <w:r w:rsidRPr="00C5474E">
        <w:rPr>
          <w:rFonts w:ascii="Tahoma" w:eastAsia="Times New Roman" w:hAnsi="Tahoma" w:cs="Tahoma"/>
          <w:color w:val="252525"/>
          <w:sz w:val="20"/>
          <w:szCs w:val="20"/>
          <w:vertAlign w:val="subscript"/>
          <w:lang w:eastAsia="uk-UA"/>
        </w:rPr>
        <w:t>н</w:t>
      </w:r>
      <w:proofErr w:type="spellEnd"/>
      <w:r w:rsidRPr="00C5474E">
        <w:rPr>
          <w:rFonts w:ascii="Tahoma" w:eastAsia="Times New Roman" w:hAnsi="Tahoma" w:cs="Tahoma"/>
          <w:color w:val="252525"/>
          <w:sz w:val="20"/>
          <w:szCs w:val="20"/>
          <w:lang w:eastAsia="uk-UA"/>
        </w:rPr>
        <w:t> - нормативна чисельність за таблицею, осіб;</w:t>
      </w:r>
    </w:p>
    <w:p w:rsidR="00C5474E" w:rsidRPr="00C5474E" w:rsidRDefault="00C5474E" w:rsidP="00C5474E">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proofErr w:type="spellStart"/>
      <w:r w:rsidRPr="00C5474E">
        <w:rPr>
          <w:rFonts w:ascii="Tahoma" w:eastAsia="Times New Roman" w:hAnsi="Tahoma" w:cs="Tahoma"/>
          <w:color w:val="252525"/>
          <w:sz w:val="20"/>
          <w:szCs w:val="20"/>
          <w:lang w:eastAsia="uk-UA"/>
        </w:rPr>
        <w:t>К</w:t>
      </w:r>
      <w:r w:rsidRPr="00C5474E">
        <w:rPr>
          <w:rFonts w:ascii="Tahoma" w:eastAsia="Times New Roman" w:hAnsi="Tahoma" w:cs="Tahoma"/>
          <w:color w:val="252525"/>
          <w:sz w:val="20"/>
          <w:szCs w:val="20"/>
          <w:vertAlign w:val="subscript"/>
          <w:lang w:eastAsia="uk-UA"/>
        </w:rPr>
        <w:t>н</w:t>
      </w:r>
      <w:proofErr w:type="spellEnd"/>
      <w:r w:rsidRPr="00C5474E">
        <w:rPr>
          <w:rFonts w:ascii="Tahoma" w:eastAsia="Times New Roman" w:hAnsi="Tahoma" w:cs="Tahoma"/>
          <w:color w:val="252525"/>
          <w:sz w:val="20"/>
          <w:szCs w:val="20"/>
          <w:lang w:eastAsia="uk-UA"/>
        </w:rPr>
        <w:t xml:space="preserve"> - коефіцієнт, що враховує невиходи (щорічні відпустки, хвороби тощо), який прийнято </w:t>
      </w:r>
      <w:proofErr w:type="spellStart"/>
      <w:r w:rsidRPr="00C5474E">
        <w:rPr>
          <w:rFonts w:ascii="Tahoma" w:eastAsia="Times New Roman" w:hAnsi="Tahoma" w:cs="Tahoma"/>
          <w:color w:val="252525"/>
          <w:sz w:val="20"/>
          <w:szCs w:val="20"/>
          <w:lang w:eastAsia="uk-UA"/>
        </w:rPr>
        <w:t>К</w:t>
      </w:r>
      <w:r w:rsidRPr="00C5474E">
        <w:rPr>
          <w:rFonts w:ascii="Tahoma" w:eastAsia="Times New Roman" w:hAnsi="Tahoma" w:cs="Tahoma"/>
          <w:color w:val="252525"/>
          <w:sz w:val="20"/>
          <w:szCs w:val="20"/>
          <w:vertAlign w:val="subscript"/>
          <w:lang w:eastAsia="uk-UA"/>
        </w:rPr>
        <w:t>н</w:t>
      </w:r>
      <w:proofErr w:type="spellEnd"/>
      <w:r w:rsidRPr="00C5474E">
        <w:rPr>
          <w:rFonts w:ascii="Tahoma" w:eastAsia="Times New Roman" w:hAnsi="Tahoma" w:cs="Tahoma"/>
          <w:color w:val="252525"/>
          <w:sz w:val="20"/>
          <w:szCs w:val="20"/>
          <w:lang w:eastAsia="uk-UA"/>
        </w:rPr>
        <w:t> = 1,15.</w:t>
      </w:r>
    </w:p>
    <w:p w:rsidR="00C5474E" w:rsidRPr="00C5474E" w:rsidRDefault="00C5474E" w:rsidP="00C5474E">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C5474E">
        <w:rPr>
          <w:rFonts w:ascii="Tahoma" w:eastAsia="Times New Roman" w:hAnsi="Tahoma" w:cs="Tahoma"/>
          <w:color w:val="252525"/>
          <w:sz w:val="20"/>
          <w:szCs w:val="20"/>
          <w:lang w:eastAsia="uk-UA"/>
        </w:rPr>
        <w:t>Нормативна чисельність визначається відповідно до додатка 2 зазначеного листа, в якому передбачено показник "Кількість працюючих та дітей у будівлі".</w:t>
      </w:r>
    </w:p>
    <w:p w:rsidR="00C5474E" w:rsidRPr="00C5474E" w:rsidRDefault="00C5474E" w:rsidP="00C54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C5474E">
        <w:rPr>
          <w:rFonts w:ascii="Courier New" w:eastAsia="Times New Roman" w:hAnsi="Courier New" w:cs="Courier New"/>
          <w:color w:val="252525"/>
          <w:sz w:val="20"/>
          <w:szCs w:val="20"/>
          <w:lang w:eastAsia="uk-UA"/>
        </w:rPr>
        <w:t>------------------------------------------------------------------</w:t>
      </w:r>
      <w:r w:rsidRPr="00C5474E">
        <w:rPr>
          <w:rFonts w:ascii="Courier New" w:eastAsia="Times New Roman" w:hAnsi="Courier New" w:cs="Courier New"/>
          <w:color w:val="252525"/>
          <w:sz w:val="20"/>
          <w:szCs w:val="20"/>
          <w:lang w:eastAsia="uk-UA"/>
        </w:rPr>
        <w:br/>
        <w:t>|N з/п |Кількість|           Загальна площа будівлі, м           |</w:t>
      </w:r>
      <w:r w:rsidRPr="00C5474E">
        <w:rPr>
          <w:rFonts w:ascii="Courier New" w:eastAsia="Times New Roman" w:hAnsi="Courier New" w:cs="Courier New"/>
          <w:color w:val="252525"/>
          <w:sz w:val="20"/>
          <w:szCs w:val="20"/>
          <w:lang w:eastAsia="uk-UA"/>
        </w:rPr>
        <w:br/>
        <w:t>|      |працюючих|-----------------------------------------------|</w:t>
      </w:r>
      <w:r w:rsidRPr="00C5474E">
        <w:rPr>
          <w:rFonts w:ascii="Courier New" w:eastAsia="Times New Roman" w:hAnsi="Courier New" w:cs="Courier New"/>
          <w:color w:val="252525"/>
          <w:sz w:val="20"/>
          <w:szCs w:val="20"/>
          <w:lang w:eastAsia="uk-UA"/>
        </w:rPr>
        <w:br/>
        <w:t>|      |та дітей |До 1500|  1501 - |  2501 - |  3501 - |  4501 - |</w:t>
      </w:r>
      <w:r w:rsidRPr="00C5474E">
        <w:rPr>
          <w:rFonts w:ascii="Courier New" w:eastAsia="Times New Roman" w:hAnsi="Courier New" w:cs="Courier New"/>
          <w:color w:val="252525"/>
          <w:sz w:val="20"/>
          <w:szCs w:val="20"/>
          <w:lang w:eastAsia="uk-UA"/>
        </w:rPr>
        <w:br/>
        <w:t>|      |    у    |       |  2500   |  3500   |  4500   |  5500   |</w:t>
      </w:r>
      <w:r w:rsidRPr="00C5474E">
        <w:rPr>
          <w:rFonts w:ascii="Courier New" w:eastAsia="Times New Roman" w:hAnsi="Courier New" w:cs="Courier New"/>
          <w:color w:val="252525"/>
          <w:sz w:val="20"/>
          <w:szCs w:val="20"/>
          <w:lang w:eastAsia="uk-UA"/>
        </w:rPr>
        <w:br/>
        <w:t>|      |будівлі, |-----------------------------------------------|</w:t>
      </w:r>
      <w:r w:rsidRPr="00C5474E">
        <w:rPr>
          <w:rFonts w:ascii="Courier New" w:eastAsia="Times New Roman" w:hAnsi="Courier New" w:cs="Courier New"/>
          <w:color w:val="252525"/>
          <w:sz w:val="20"/>
          <w:szCs w:val="20"/>
          <w:lang w:eastAsia="uk-UA"/>
        </w:rPr>
        <w:br/>
        <w:t>|      |  осіб   |               Чисельність, осіб               |</w:t>
      </w:r>
      <w:r w:rsidRPr="00C5474E">
        <w:rPr>
          <w:rFonts w:ascii="Courier New" w:eastAsia="Times New Roman" w:hAnsi="Courier New" w:cs="Courier New"/>
          <w:color w:val="252525"/>
          <w:sz w:val="20"/>
          <w:szCs w:val="20"/>
          <w:lang w:eastAsia="uk-UA"/>
        </w:rPr>
        <w:br/>
        <w:t>|------+---------+-----------------------------------------------|</w:t>
      </w:r>
      <w:r w:rsidRPr="00C5474E">
        <w:rPr>
          <w:rFonts w:ascii="Courier New" w:eastAsia="Times New Roman" w:hAnsi="Courier New" w:cs="Courier New"/>
          <w:color w:val="252525"/>
          <w:sz w:val="20"/>
          <w:szCs w:val="20"/>
          <w:lang w:eastAsia="uk-UA"/>
        </w:rPr>
        <w:br/>
        <w:t>|  1   |  До 100 |  0,60 |  0,88   |  1,25   |  1,62   |  2,01   |</w:t>
      </w:r>
      <w:r w:rsidRPr="00C5474E">
        <w:rPr>
          <w:rFonts w:ascii="Courier New" w:eastAsia="Times New Roman" w:hAnsi="Courier New" w:cs="Courier New"/>
          <w:color w:val="252525"/>
          <w:sz w:val="20"/>
          <w:szCs w:val="20"/>
          <w:lang w:eastAsia="uk-UA"/>
        </w:rPr>
        <w:br/>
        <w:t>|------+---------+-------+---------+---------+---------+---------|</w:t>
      </w:r>
      <w:r w:rsidRPr="00C5474E">
        <w:rPr>
          <w:rFonts w:ascii="Courier New" w:eastAsia="Times New Roman" w:hAnsi="Courier New" w:cs="Courier New"/>
          <w:color w:val="252525"/>
          <w:sz w:val="20"/>
          <w:szCs w:val="20"/>
          <w:lang w:eastAsia="uk-UA"/>
        </w:rPr>
        <w:br/>
        <w:t>|  2   |101 - 200|  0,96 |  1,21   |  1,59   |  1,91   |  2,31   |</w:t>
      </w:r>
      <w:r w:rsidRPr="00C5474E">
        <w:rPr>
          <w:rFonts w:ascii="Courier New" w:eastAsia="Times New Roman" w:hAnsi="Courier New" w:cs="Courier New"/>
          <w:color w:val="252525"/>
          <w:sz w:val="20"/>
          <w:szCs w:val="20"/>
          <w:lang w:eastAsia="uk-UA"/>
        </w:rPr>
        <w:br/>
        <w:t>|------+---------+-------+---------+---------+---------+---------|</w:t>
      </w:r>
      <w:r w:rsidRPr="00C5474E">
        <w:rPr>
          <w:rFonts w:ascii="Courier New" w:eastAsia="Times New Roman" w:hAnsi="Courier New" w:cs="Courier New"/>
          <w:color w:val="252525"/>
          <w:sz w:val="20"/>
          <w:szCs w:val="20"/>
          <w:lang w:eastAsia="uk-UA"/>
        </w:rPr>
        <w:br/>
        <w:t>|  3   |201 - 300|  1,31 |  1,60   |  2,00   |  2,21   |  2,61   |</w:t>
      </w:r>
      <w:r w:rsidRPr="00C5474E">
        <w:rPr>
          <w:rFonts w:ascii="Courier New" w:eastAsia="Times New Roman" w:hAnsi="Courier New" w:cs="Courier New"/>
          <w:color w:val="252525"/>
          <w:sz w:val="20"/>
          <w:szCs w:val="20"/>
          <w:lang w:eastAsia="uk-UA"/>
        </w:rPr>
        <w:br/>
      </w:r>
      <w:r w:rsidRPr="00C5474E">
        <w:rPr>
          <w:rFonts w:ascii="Courier New" w:eastAsia="Times New Roman" w:hAnsi="Courier New" w:cs="Courier New"/>
          <w:color w:val="252525"/>
          <w:sz w:val="20"/>
          <w:szCs w:val="20"/>
          <w:lang w:eastAsia="uk-UA"/>
        </w:rPr>
        <w:lastRenderedPageBreak/>
        <w:t>|------+---------+-------+---------+---------+---------+---------|</w:t>
      </w:r>
      <w:r w:rsidRPr="00C5474E">
        <w:rPr>
          <w:rFonts w:ascii="Courier New" w:eastAsia="Times New Roman" w:hAnsi="Courier New" w:cs="Courier New"/>
          <w:color w:val="252525"/>
          <w:sz w:val="20"/>
          <w:szCs w:val="20"/>
          <w:lang w:eastAsia="uk-UA"/>
        </w:rPr>
        <w:br/>
        <w:t>|  4   |301 - 400|  1,55 |  1,75   |  2,21   |  2,53   |  2,91   |</w:t>
      </w:r>
      <w:r w:rsidRPr="00C5474E">
        <w:rPr>
          <w:rFonts w:ascii="Courier New" w:eastAsia="Times New Roman" w:hAnsi="Courier New" w:cs="Courier New"/>
          <w:color w:val="252525"/>
          <w:sz w:val="20"/>
          <w:szCs w:val="20"/>
          <w:lang w:eastAsia="uk-UA"/>
        </w:rPr>
        <w:br/>
        <w:t>------------------------------------------------------------------</w:t>
      </w:r>
    </w:p>
    <w:p w:rsidR="00C5474E" w:rsidRPr="00C5474E" w:rsidRDefault="00C5474E" w:rsidP="00C5474E">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C5474E">
        <w:rPr>
          <w:rFonts w:ascii="Tahoma" w:eastAsia="Times New Roman" w:hAnsi="Tahoma" w:cs="Tahoma"/>
          <w:color w:val="252525"/>
          <w:sz w:val="20"/>
          <w:szCs w:val="20"/>
          <w:lang w:eastAsia="uk-UA"/>
        </w:rPr>
        <w:t>Постановами Кабінету Міністрів України від </w:t>
      </w:r>
      <w:r w:rsidRPr="00C5474E">
        <w:rPr>
          <w:rFonts w:ascii="Tahoma" w:eastAsia="Times New Roman" w:hAnsi="Tahoma" w:cs="Tahoma"/>
          <w:color w:val="006699"/>
          <w:sz w:val="20"/>
          <w:szCs w:val="20"/>
          <w:u w:val="single"/>
          <w:lang w:eastAsia="uk-UA"/>
        </w:rPr>
        <w:t>20.12.93 р. N 1049</w:t>
      </w:r>
      <w:r w:rsidRPr="00C5474E">
        <w:rPr>
          <w:rFonts w:ascii="Tahoma" w:eastAsia="Times New Roman" w:hAnsi="Tahoma" w:cs="Tahoma"/>
          <w:color w:val="252525"/>
          <w:sz w:val="20"/>
          <w:szCs w:val="20"/>
          <w:lang w:eastAsia="uk-UA"/>
        </w:rPr>
        <w:t> "Про надбавки за вислугу років для працівників органів виконавчої влади та інших державних органів", від </w:t>
      </w:r>
      <w:r w:rsidRPr="00C5474E">
        <w:rPr>
          <w:rFonts w:ascii="Tahoma" w:eastAsia="Times New Roman" w:hAnsi="Tahoma" w:cs="Tahoma"/>
          <w:color w:val="006699"/>
          <w:sz w:val="20"/>
          <w:szCs w:val="20"/>
          <w:u w:val="single"/>
          <w:lang w:eastAsia="uk-UA"/>
        </w:rPr>
        <w:t>31.01.2001 р. N 78</w:t>
      </w:r>
      <w:r w:rsidRPr="00C5474E">
        <w:rPr>
          <w:rFonts w:ascii="Tahoma" w:eastAsia="Times New Roman" w:hAnsi="Tahoma" w:cs="Tahoma"/>
          <w:color w:val="252525"/>
          <w:sz w:val="20"/>
          <w:szCs w:val="20"/>
          <w:lang w:eastAsia="uk-UA"/>
        </w:rPr>
        <w:t> "Про реалізацію окремих положень </w:t>
      </w:r>
      <w:r w:rsidRPr="00C5474E">
        <w:rPr>
          <w:rFonts w:ascii="Tahoma" w:eastAsia="Times New Roman" w:hAnsi="Tahoma" w:cs="Tahoma"/>
          <w:color w:val="006699"/>
          <w:sz w:val="20"/>
          <w:szCs w:val="20"/>
          <w:u w:val="single"/>
          <w:lang w:eastAsia="uk-UA"/>
        </w:rPr>
        <w:t>частини першої статті 57</w:t>
      </w:r>
      <w:r w:rsidRPr="00C5474E">
        <w:rPr>
          <w:rFonts w:ascii="Tahoma" w:eastAsia="Times New Roman" w:hAnsi="Tahoma" w:cs="Tahoma"/>
          <w:color w:val="252525"/>
          <w:sz w:val="20"/>
          <w:szCs w:val="20"/>
          <w:lang w:eastAsia="uk-UA"/>
        </w:rPr>
        <w:t> Закону України "Про освіту", </w:t>
      </w:r>
      <w:r w:rsidRPr="00C5474E">
        <w:rPr>
          <w:rFonts w:ascii="Tahoma" w:eastAsia="Times New Roman" w:hAnsi="Tahoma" w:cs="Tahoma"/>
          <w:color w:val="006699"/>
          <w:sz w:val="20"/>
          <w:szCs w:val="20"/>
          <w:u w:val="single"/>
          <w:lang w:eastAsia="uk-UA"/>
        </w:rPr>
        <w:t>частини першої статті 25</w:t>
      </w:r>
      <w:r w:rsidRPr="00C5474E">
        <w:rPr>
          <w:rFonts w:ascii="Tahoma" w:eastAsia="Times New Roman" w:hAnsi="Tahoma" w:cs="Tahoma"/>
          <w:color w:val="252525"/>
          <w:sz w:val="20"/>
          <w:szCs w:val="20"/>
          <w:lang w:eastAsia="uk-UA"/>
        </w:rPr>
        <w:t> Закону України "Про загальну середню освіту", </w:t>
      </w:r>
      <w:r w:rsidRPr="00C5474E">
        <w:rPr>
          <w:rFonts w:ascii="Tahoma" w:eastAsia="Times New Roman" w:hAnsi="Tahoma" w:cs="Tahoma"/>
          <w:color w:val="006699"/>
          <w:sz w:val="20"/>
          <w:szCs w:val="20"/>
          <w:u w:val="single"/>
          <w:lang w:eastAsia="uk-UA"/>
        </w:rPr>
        <w:t>частини другої статті 18</w:t>
      </w:r>
      <w:r w:rsidRPr="00C5474E">
        <w:rPr>
          <w:rFonts w:ascii="Tahoma" w:eastAsia="Times New Roman" w:hAnsi="Tahoma" w:cs="Tahoma"/>
          <w:color w:val="252525"/>
          <w:sz w:val="20"/>
          <w:szCs w:val="20"/>
          <w:lang w:eastAsia="uk-UA"/>
        </w:rPr>
        <w:t> і </w:t>
      </w:r>
      <w:r w:rsidRPr="00C5474E">
        <w:rPr>
          <w:rFonts w:ascii="Tahoma" w:eastAsia="Times New Roman" w:hAnsi="Tahoma" w:cs="Tahoma"/>
          <w:color w:val="006699"/>
          <w:sz w:val="20"/>
          <w:szCs w:val="20"/>
          <w:u w:val="single"/>
          <w:lang w:eastAsia="uk-UA"/>
        </w:rPr>
        <w:t>частини першої статті 22</w:t>
      </w:r>
      <w:r w:rsidRPr="00C5474E">
        <w:rPr>
          <w:rFonts w:ascii="Tahoma" w:eastAsia="Times New Roman" w:hAnsi="Tahoma" w:cs="Tahoma"/>
          <w:color w:val="252525"/>
          <w:sz w:val="20"/>
          <w:szCs w:val="20"/>
          <w:lang w:eastAsia="uk-UA"/>
        </w:rPr>
        <w:t> Закону України "Про позашкільну освіту" та наказом Державного комітету України з питань фізичної культури і спорту від </w:t>
      </w:r>
      <w:r w:rsidRPr="00C5474E">
        <w:rPr>
          <w:rFonts w:ascii="Tahoma" w:eastAsia="Times New Roman" w:hAnsi="Tahoma" w:cs="Tahoma"/>
          <w:color w:val="006699"/>
          <w:sz w:val="20"/>
          <w:szCs w:val="20"/>
          <w:u w:val="single"/>
          <w:lang w:eastAsia="uk-UA"/>
        </w:rPr>
        <w:t>29.12.2002 р. N 2850</w:t>
      </w:r>
      <w:r w:rsidRPr="00C5474E">
        <w:rPr>
          <w:rFonts w:ascii="Tahoma" w:eastAsia="Times New Roman" w:hAnsi="Tahoma" w:cs="Tahoma"/>
          <w:color w:val="252525"/>
          <w:sz w:val="20"/>
          <w:szCs w:val="20"/>
          <w:lang w:eastAsia="uk-UA"/>
        </w:rPr>
        <w:t> "Про затвердження Порядку виплати щомісячної надбавки за вислугу років і </w:t>
      </w:r>
      <w:r w:rsidRPr="00C5474E">
        <w:rPr>
          <w:rFonts w:ascii="Tahoma" w:eastAsia="Times New Roman" w:hAnsi="Tahoma" w:cs="Tahoma"/>
          <w:color w:val="006699"/>
          <w:sz w:val="20"/>
          <w:szCs w:val="20"/>
          <w:u w:val="single"/>
          <w:lang w:eastAsia="uk-UA"/>
        </w:rPr>
        <w:t>Порядку</w:t>
      </w:r>
      <w:r w:rsidRPr="00C5474E">
        <w:rPr>
          <w:rFonts w:ascii="Tahoma" w:eastAsia="Times New Roman" w:hAnsi="Tahoma" w:cs="Tahoma"/>
          <w:color w:val="252525"/>
          <w:sz w:val="20"/>
          <w:szCs w:val="20"/>
          <w:lang w:eastAsia="uk-UA"/>
        </w:rPr>
        <w:t> виплати щорічної грошової винагороди за сумлінну працю, зразкове виконання службових обов'язків окремим категоріям працівників спортивних шкіл усіх типів та спеціалізованих навчальних закладів спортивного профілю" зарахування часу оплачуваного вимушеного прогулу, спричиненого незаконним звільненням або переведенням на іншу роботу, до загального стажу для виплати надбавки за вислугу років не передбачено.</w:t>
      </w:r>
    </w:p>
    <w:p w:rsidR="00C5474E" w:rsidRPr="00C5474E" w:rsidRDefault="00C5474E" w:rsidP="00C5474E">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C5474E">
        <w:rPr>
          <w:rFonts w:ascii="Tahoma" w:eastAsia="Times New Roman" w:hAnsi="Tahoma" w:cs="Tahoma"/>
          <w:color w:val="252525"/>
          <w:sz w:val="20"/>
          <w:szCs w:val="20"/>
          <w:lang w:eastAsia="uk-UA"/>
        </w:rPr>
        <w:t>Разом з тим вважаємо, що при поновленні працівника на роботі час вимушеного прогулу, спричиненого незаконним звільненням, зараховується до стажу, необхідного для виплати надбавки за вислугу років.</w:t>
      </w:r>
    </w:p>
    <w:p w:rsidR="00C5474E" w:rsidRPr="00C5474E" w:rsidRDefault="00C5474E" w:rsidP="00C5474E">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C5474E">
        <w:rPr>
          <w:rFonts w:ascii="Tahoma" w:eastAsia="Times New Roman" w:hAnsi="Tahoma" w:cs="Tahoma"/>
          <w:color w:val="252525"/>
          <w:sz w:val="20"/>
          <w:szCs w:val="20"/>
          <w:lang w:eastAsia="uk-UA"/>
        </w:rPr>
        <w:t xml:space="preserve">Директор Департаменту заробітної плати та умов праці </w:t>
      </w:r>
      <w:proofErr w:type="spellStart"/>
      <w:r w:rsidRPr="00C5474E">
        <w:rPr>
          <w:rFonts w:ascii="Tahoma" w:eastAsia="Times New Roman" w:hAnsi="Tahoma" w:cs="Tahoma"/>
          <w:color w:val="252525"/>
          <w:sz w:val="20"/>
          <w:szCs w:val="20"/>
          <w:lang w:eastAsia="uk-UA"/>
        </w:rPr>
        <w:t>О.Товстенко</w:t>
      </w:r>
      <w:proofErr w:type="spellEnd"/>
    </w:p>
    <w:p w:rsidR="00DA7FC5" w:rsidRDefault="00DA7FC5"/>
    <w:sectPr w:rsidR="00DA7F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4E"/>
    <w:rsid w:val="00C5474E"/>
    <w:rsid w:val="00DA7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F0188-9E81-4832-BF7D-9654C4D2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2982</Words>
  <Characters>1701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2017-10-12T14:16:00Z</dcterms:created>
  <dcterms:modified xsi:type="dcterms:W3CDTF">2017-10-12T14:17:00Z</dcterms:modified>
</cp:coreProperties>
</file>