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EC0" w:rsidRDefault="00B86EC0" w:rsidP="00B86EC0">
      <w:pPr>
        <w:pStyle w:val="a3"/>
        <w:jc w:val="both"/>
      </w:pPr>
      <w:r>
        <w:t>Державна фіскальна служба України розглянула запит про надання податкової консультації щодо обрахунку показника перевищення податкових зобов'язань (</w:t>
      </w:r>
      <w:proofErr w:type="spellStart"/>
      <w:r>
        <w:t>Σ</w:t>
      </w:r>
      <w:r>
        <w:rPr>
          <w:vertAlign w:val="subscript"/>
        </w:rPr>
        <w:t>Перевищ</w:t>
      </w:r>
      <w:proofErr w:type="spellEnd"/>
      <w:r>
        <w:t>) в системі електронного адміністрування ПДВ (далі - СЕА) та надає в порядку ст. 52 Податкового кодексу України (далі - ПКУ) індивідуальну податкову консультацію.</w:t>
      </w:r>
    </w:p>
    <w:p w:rsidR="00B86EC0" w:rsidRDefault="00B86EC0" w:rsidP="00B86EC0">
      <w:pPr>
        <w:pStyle w:val="a3"/>
        <w:jc w:val="both"/>
      </w:pPr>
      <w:r>
        <w:t xml:space="preserve">Порядок та умови функціонування системи електронного адміністрування регламентовано ст. </w:t>
      </w:r>
      <w:r w:rsidRPr="00724FD5">
        <w:t>20</w:t>
      </w:r>
      <w:bookmarkStart w:id="0" w:name="_GoBack"/>
      <w:bookmarkEnd w:id="0"/>
      <w:r w:rsidRPr="00724FD5">
        <w:t>0-1</w:t>
      </w:r>
      <w:r>
        <w:t xml:space="preserve"> ПКУ.</w:t>
      </w:r>
    </w:p>
    <w:p w:rsidR="00B86EC0" w:rsidRDefault="00B86EC0" w:rsidP="00B86EC0">
      <w:pPr>
        <w:pStyle w:val="a3"/>
        <w:jc w:val="both"/>
      </w:pPr>
      <w:r>
        <w:t>Так, платник податку має право зареєструвати податкові накладні та/або розрахунки коригування в Єдиному реєстрі податкових накладних (далі - ЄРПН) на суму податку (</w:t>
      </w:r>
      <w:proofErr w:type="spellStart"/>
      <w:r>
        <w:t>Σ</w:t>
      </w:r>
      <w:r>
        <w:rPr>
          <w:vertAlign w:val="subscript"/>
        </w:rPr>
        <w:t>Накл</w:t>
      </w:r>
      <w:proofErr w:type="spellEnd"/>
      <w:r>
        <w:t>), обчислену за формулою, визначеною пунктом 200</w:t>
      </w:r>
      <w:r>
        <w:rPr>
          <w:vertAlign w:val="superscript"/>
        </w:rPr>
        <w:t>1</w:t>
      </w:r>
      <w:r>
        <w:t>.3 статті 200</w:t>
      </w:r>
      <w:r>
        <w:rPr>
          <w:vertAlign w:val="superscript"/>
        </w:rPr>
        <w:t>1</w:t>
      </w:r>
      <w:r>
        <w:t xml:space="preserve"> ПКУ.</w:t>
      </w:r>
    </w:p>
    <w:p w:rsidR="00B86EC0" w:rsidRDefault="00B86EC0" w:rsidP="00B86EC0">
      <w:pPr>
        <w:pStyle w:val="a3"/>
        <w:jc w:val="both"/>
      </w:pPr>
      <w:proofErr w:type="spellStart"/>
      <w:r>
        <w:t>Σ</w:t>
      </w:r>
      <w:r>
        <w:rPr>
          <w:vertAlign w:val="subscript"/>
        </w:rPr>
        <w:t>Накл</w:t>
      </w:r>
      <w:proofErr w:type="spellEnd"/>
      <w:r>
        <w:t xml:space="preserve"> = </w:t>
      </w:r>
      <w:proofErr w:type="spellStart"/>
      <w:r>
        <w:t>Σ</w:t>
      </w:r>
      <w:r>
        <w:rPr>
          <w:vertAlign w:val="subscript"/>
        </w:rPr>
        <w:t>НаклОтр</w:t>
      </w:r>
      <w:proofErr w:type="spellEnd"/>
      <w:r>
        <w:t xml:space="preserve"> +</w:t>
      </w:r>
      <w:proofErr w:type="spellStart"/>
      <w:r>
        <w:t>Σ</w:t>
      </w:r>
      <w:r>
        <w:rPr>
          <w:vertAlign w:val="subscript"/>
        </w:rPr>
        <w:t>Митн</w:t>
      </w:r>
      <w:proofErr w:type="spellEnd"/>
      <w:r>
        <w:t xml:space="preserve"> + </w:t>
      </w:r>
      <w:proofErr w:type="spellStart"/>
      <w:r>
        <w:t>Σ</w:t>
      </w:r>
      <w:r>
        <w:rPr>
          <w:vertAlign w:val="subscript"/>
        </w:rPr>
        <w:t>ПопРах</w:t>
      </w:r>
      <w:proofErr w:type="spellEnd"/>
      <w:r>
        <w:t xml:space="preserve"> + </w:t>
      </w:r>
      <w:proofErr w:type="spellStart"/>
      <w:r>
        <w:t>Σ</w:t>
      </w:r>
      <w:r>
        <w:rPr>
          <w:vertAlign w:val="subscript"/>
        </w:rPr>
        <w:t>Овердрафт</w:t>
      </w:r>
      <w:proofErr w:type="spellEnd"/>
      <w:r>
        <w:t xml:space="preserve"> - </w:t>
      </w:r>
      <w:proofErr w:type="spellStart"/>
      <w:r>
        <w:t>Σ</w:t>
      </w:r>
      <w:r>
        <w:rPr>
          <w:vertAlign w:val="subscript"/>
        </w:rPr>
        <w:t>НаклВид</w:t>
      </w:r>
      <w:proofErr w:type="spellEnd"/>
      <w:r>
        <w:t xml:space="preserve"> - </w:t>
      </w:r>
      <w:proofErr w:type="spellStart"/>
      <w:r>
        <w:t>Σ</w:t>
      </w:r>
      <w:r>
        <w:rPr>
          <w:vertAlign w:val="subscript"/>
        </w:rPr>
        <w:t>Відшкод</w:t>
      </w:r>
      <w:proofErr w:type="spellEnd"/>
      <w:r>
        <w:t xml:space="preserve"> - </w:t>
      </w:r>
      <w:proofErr w:type="spellStart"/>
      <w:r>
        <w:t>Σ</w:t>
      </w:r>
      <w:r>
        <w:rPr>
          <w:vertAlign w:val="subscript"/>
        </w:rPr>
        <w:t>Перевищ</w:t>
      </w:r>
      <w:proofErr w:type="spellEnd"/>
      <w:r>
        <w:t>,</w:t>
      </w:r>
    </w:p>
    <w:p w:rsidR="00B86EC0" w:rsidRDefault="00B86EC0" w:rsidP="00B86EC0">
      <w:pPr>
        <w:pStyle w:val="a3"/>
        <w:jc w:val="both"/>
      </w:pPr>
      <w:r>
        <w:t>Де:</w:t>
      </w:r>
    </w:p>
    <w:p w:rsidR="00B86EC0" w:rsidRDefault="00B86EC0" w:rsidP="00B86EC0">
      <w:pPr>
        <w:pStyle w:val="a3"/>
        <w:jc w:val="both"/>
      </w:pPr>
      <w:proofErr w:type="spellStart"/>
      <w:r>
        <w:t>Σ</w:t>
      </w:r>
      <w:r>
        <w:rPr>
          <w:vertAlign w:val="subscript"/>
        </w:rPr>
        <w:t>НаклОтр</w:t>
      </w:r>
      <w:proofErr w:type="spellEnd"/>
      <w:r>
        <w:t xml:space="preserve"> - загальна сума податку за отриманими платником податковими накладними, зареєстрованими в ЄРПН, податковими накладними, складеними платником податку відповідно до п. </w:t>
      </w:r>
      <w:r w:rsidRPr="00724FD5">
        <w:t>208.2</w:t>
      </w:r>
      <w:r>
        <w:t xml:space="preserve"> ст. 208 Кодексу та зареєстрованими в ЄРПН, та розрахунками коригування до таких податкових накладних, зареєстрованими в ЄРПН;</w:t>
      </w:r>
    </w:p>
    <w:p w:rsidR="00B86EC0" w:rsidRDefault="00B86EC0" w:rsidP="00B86EC0">
      <w:pPr>
        <w:pStyle w:val="a3"/>
        <w:jc w:val="both"/>
      </w:pPr>
      <w:proofErr w:type="spellStart"/>
      <w:r>
        <w:t>Σ</w:t>
      </w:r>
      <w:r>
        <w:rPr>
          <w:vertAlign w:val="subscript"/>
        </w:rPr>
        <w:t>Митн</w:t>
      </w:r>
      <w:proofErr w:type="spellEnd"/>
      <w:r>
        <w:t xml:space="preserve"> - загальна сума податку, сплаченого платником при ввезенні товарів на митну територію України;</w:t>
      </w:r>
    </w:p>
    <w:p w:rsidR="00B86EC0" w:rsidRDefault="00B86EC0" w:rsidP="00B86EC0">
      <w:pPr>
        <w:pStyle w:val="a3"/>
        <w:jc w:val="both"/>
      </w:pPr>
      <w:proofErr w:type="spellStart"/>
      <w:r>
        <w:t>Σ</w:t>
      </w:r>
      <w:r>
        <w:rPr>
          <w:vertAlign w:val="subscript"/>
        </w:rPr>
        <w:t>ПопРах</w:t>
      </w:r>
      <w:proofErr w:type="spellEnd"/>
      <w:r>
        <w:t xml:space="preserve"> - загальна сума поповнення з поточного рахунку платника податку рахунка в СЕА, в тому числі рахунків у системі електронного адміністрування податку платника - сільськогосподарського підприємства, що обрало спеціальний режим оподаткування відповідно до статті 209 ПКУ, зазначених у підпунктах "а" - "в" пункту 200</w:t>
      </w:r>
      <w:r>
        <w:rPr>
          <w:vertAlign w:val="superscript"/>
        </w:rPr>
        <w:t>1</w:t>
      </w:r>
      <w:r>
        <w:t>.2 цієї статті;</w:t>
      </w:r>
    </w:p>
    <w:p w:rsidR="00B86EC0" w:rsidRDefault="00B86EC0" w:rsidP="00B86EC0">
      <w:pPr>
        <w:pStyle w:val="a3"/>
        <w:jc w:val="both"/>
      </w:pPr>
      <w:proofErr w:type="spellStart"/>
      <w:r>
        <w:t>Σ</w:t>
      </w:r>
      <w:r>
        <w:rPr>
          <w:vertAlign w:val="subscript"/>
        </w:rPr>
        <w:t>Овердрафт</w:t>
      </w:r>
      <w:proofErr w:type="spellEnd"/>
      <w:r>
        <w:t xml:space="preserve"> - сума середньомісячного розміру сум податку, які за останніх 12 звітних (податкових) місяців були задекларовані платником до сплати до бюджету та погашені чи розстрочені або відстрочені, а також задекларовані платником - сільськогосподарським підприємством, що обрав спеціальний режим оподаткування відповідно до статті 209 ПКУ;</w:t>
      </w:r>
    </w:p>
    <w:p w:rsidR="00B86EC0" w:rsidRDefault="00B86EC0" w:rsidP="00B86EC0">
      <w:pPr>
        <w:pStyle w:val="a3"/>
        <w:jc w:val="both"/>
      </w:pPr>
      <w:proofErr w:type="spellStart"/>
      <w:r>
        <w:t>Σ</w:t>
      </w:r>
      <w:r>
        <w:rPr>
          <w:vertAlign w:val="subscript"/>
        </w:rPr>
        <w:t>НаклВид</w:t>
      </w:r>
      <w:proofErr w:type="spellEnd"/>
      <w:r>
        <w:t xml:space="preserve"> - загальна сума податку за складеними платником податковими накладними, зареєстрованими в ЄРПН та розрахунками коригування до таких податкових накладних, зареєстрованими в ЄРПН;</w:t>
      </w:r>
    </w:p>
    <w:p w:rsidR="00B86EC0" w:rsidRDefault="00B86EC0" w:rsidP="00B86EC0">
      <w:pPr>
        <w:pStyle w:val="a3"/>
        <w:jc w:val="both"/>
      </w:pPr>
      <w:proofErr w:type="spellStart"/>
      <w:r>
        <w:t>Σ</w:t>
      </w:r>
      <w:r>
        <w:rPr>
          <w:vertAlign w:val="subscript"/>
        </w:rPr>
        <w:t>Відшкод</w:t>
      </w:r>
      <w:proofErr w:type="spellEnd"/>
      <w:r>
        <w:t xml:space="preserve"> - загальна сума податку, заявлена платником до бюджетного відшкодування з урахуванням сум коригувань та результатів перевірок, що проводяться відповідно ПКУ;</w:t>
      </w:r>
    </w:p>
    <w:p w:rsidR="00B86EC0" w:rsidRDefault="00B86EC0" w:rsidP="00B86EC0">
      <w:pPr>
        <w:pStyle w:val="a3"/>
        <w:jc w:val="both"/>
      </w:pPr>
      <w:proofErr w:type="spellStart"/>
      <w:r>
        <w:t>Σ</w:t>
      </w:r>
      <w:r>
        <w:rPr>
          <w:vertAlign w:val="subscript"/>
        </w:rPr>
        <w:t>Перевищ</w:t>
      </w:r>
      <w:proofErr w:type="spellEnd"/>
      <w:r>
        <w:t xml:space="preserve"> - загальна сума перевищення податкових зобов'язань, зазначених платником у поданих податкових деклараціях з урахуванням поданих уточнюючих розрахунків до них, над сумою податку, що міститься в складених таким платником податкових накладних та розрахунках коригування до таких податкових накладних, зареєстрованих в ЄРПН.</w:t>
      </w:r>
    </w:p>
    <w:p w:rsidR="00B86EC0" w:rsidRDefault="00B86EC0" w:rsidP="00B86EC0">
      <w:pPr>
        <w:pStyle w:val="a3"/>
        <w:jc w:val="both"/>
      </w:pPr>
      <w:r>
        <w:t xml:space="preserve">Показники формули, визначеної цим пунктом, обраховуються з 1 липня 2015 року. Під час обрахунку показників </w:t>
      </w:r>
      <w:proofErr w:type="spellStart"/>
      <w:r>
        <w:t>Σ</w:t>
      </w:r>
      <w:r>
        <w:rPr>
          <w:vertAlign w:val="subscript"/>
        </w:rPr>
        <w:t>НаклОтр</w:t>
      </w:r>
      <w:proofErr w:type="spellEnd"/>
      <w:r>
        <w:t xml:space="preserve"> та </w:t>
      </w:r>
      <w:proofErr w:type="spellStart"/>
      <w:r>
        <w:t>Σ</w:t>
      </w:r>
      <w:r>
        <w:rPr>
          <w:vertAlign w:val="subscript"/>
        </w:rPr>
        <w:t>НаклВид</w:t>
      </w:r>
      <w:proofErr w:type="spellEnd"/>
      <w:r>
        <w:t xml:space="preserve"> також використовуються розрахунки коригування, складені починаючи з 1 липня 2015 року та зареєстровані в ЄРПН, до податкових накладних, складених до 1 липня 2015 року, що підлягали наданню покупцям - платникам податку. Для обрахунку показників </w:t>
      </w:r>
      <w:proofErr w:type="spellStart"/>
      <w:r>
        <w:t>Σ</w:t>
      </w:r>
      <w:r>
        <w:rPr>
          <w:vertAlign w:val="subscript"/>
        </w:rPr>
        <w:t>НаклОтр</w:t>
      </w:r>
      <w:proofErr w:type="spellEnd"/>
      <w:r>
        <w:t xml:space="preserve">, </w:t>
      </w:r>
      <w:proofErr w:type="spellStart"/>
      <w:r>
        <w:t>Σ</w:t>
      </w:r>
      <w:r>
        <w:rPr>
          <w:vertAlign w:val="subscript"/>
        </w:rPr>
        <w:t>НаклВид</w:t>
      </w:r>
      <w:proofErr w:type="spellEnd"/>
      <w:r>
        <w:t xml:space="preserve"> та </w:t>
      </w:r>
      <w:proofErr w:type="spellStart"/>
      <w:r>
        <w:t>Σ</w:t>
      </w:r>
      <w:r>
        <w:rPr>
          <w:vertAlign w:val="subscript"/>
        </w:rPr>
        <w:t>Митн</w:t>
      </w:r>
      <w:proofErr w:type="spellEnd"/>
      <w:r>
        <w:t xml:space="preserve"> використовуються документи (податкові накладні, розрахунки коригування, митні декларації, аркуші коригування та додаткові декларації), складені починаючи з 1 липня 2015 року.</w:t>
      </w:r>
    </w:p>
    <w:p w:rsidR="00B86EC0" w:rsidRDefault="00B86EC0" w:rsidP="00B86EC0">
      <w:pPr>
        <w:pStyle w:val="a3"/>
        <w:jc w:val="both"/>
      </w:pPr>
      <w:r>
        <w:lastRenderedPageBreak/>
        <w:t xml:space="preserve">Під час обрахунку суми </w:t>
      </w:r>
      <w:proofErr w:type="spellStart"/>
      <w:r>
        <w:t>Σ</w:t>
      </w:r>
      <w:r>
        <w:rPr>
          <w:vertAlign w:val="subscript"/>
        </w:rPr>
        <w:t>Накл</w:t>
      </w:r>
      <w:proofErr w:type="spellEnd"/>
      <w:r>
        <w:t xml:space="preserve"> також використовуються показники, визначені п. 34, 34</w:t>
      </w:r>
      <w:r>
        <w:rPr>
          <w:vertAlign w:val="superscript"/>
        </w:rPr>
        <w:t>1</w:t>
      </w:r>
      <w:r>
        <w:t xml:space="preserve"> </w:t>
      </w:r>
      <w:proofErr w:type="spellStart"/>
      <w:r>
        <w:t>підр</w:t>
      </w:r>
      <w:proofErr w:type="spellEnd"/>
      <w:r>
        <w:t xml:space="preserve">. 2 </w:t>
      </w:r>
      <w:proofErr w:type="spellStart"/>
      <w:r>
        <w:t>розд</w:t>
      </w:r>
      <w:proofErr w:type="spellEnd"/>
      <w:r>
        <w:t>. XX "Перехідні положення" ПКУ.</w:t>
      </w:r>
    </w:p>
    <w:p w:rsidR="00B86EC0" w:rsidRDefault="00B86EC0" w:rsidP="00B86EC0">
      <w:pPr>
        <w:pStyle w:val="a3"/>
        <w:jc w:val="both"/>
      </w:pPr>
      <w:r>
        <w:t xml:space="preserve">Слід зазначити, що Законом України від 21 грудня 2016 р. № 1797-VIII "Про внесення змін до Податкового кодексу України щодо покращення інвестиційного клімату в Україні" статтю </w:t>
      </w:r>
      <w:r w:rsidRPr="00724FD5">
        <w:t>200-1</w:t>
      </w:r>
      <w:r>
        <w:t xml:space="preserve"> ПКУ доповнено пунктом 200</w:t>
      </w:r>
      <w:r>
        <w:rPr>
          <w:vertAlign w:val="superscript"/>
        </w:rPr>
        <w:t>1</w:t>
      </w:r>
      <w:r>
        <w:t>.9.</w:t>
      </w:r>
    </w:p>
    <w:p w:rsidR="00B86EC0" w:rsidRDefault="00B86EC0" w:rsidP="00B86EC0">
      <w:pPr>
        <w:pStyle w:val="a3"/>
        <w:jc w:val="both"/>
      </w:pPr>
      <w:r>
        <w:t>Відповідно до п. 200</w:t>
      </w:r>
      <w:r>
        <w:rPr>
          <w:vertAlign w:val="superscript"/>
        </w:rPr>
        <w:t>1</w:t>
      </w:r>
      <w:r>
        <w:t>.9 ст. 200</w:t>
      </w:r>
      <w:r>
        <w:rPr>
          <w:vertAlign w:val="superscript"/>
        </w:rPr>
        <w:t>1</w:t>
      </w:r>
      <w:r>
        <w:t xml:space="preserve"> ПКУ якщо у платника податку загальна сума податкових зобов'язань, зазначених ним у поданих податкових деклараціях з урахуванням уточнюючих розрахунків до них, перевищує суму податку, що міститься в складених таким платником податкових накладних та розрахунках коригування до таких податкових накладних, зареєстрованих в ЄРПН (</w:t>
      </w:r>
      <w:proofErr w:type="spellStart"/>
      <w:r>
        <w:t>Σ</w:t>
      </w:r>
      <w:r>
        <w:rPr>
          <w:vertAlign w:val="subscript"/>
        </w:rPr>
        <w:t>Перевищ</w:t>
      </w:r>
      <w:proofErr w:type="spellEnd"/>
      <w:r>
        <w:t>), а сума, визначена п. 200</w:t>
      </w:r>
      <w:r>
        <w:rPr>
          <w:vertAlign w:val="superscript"/>
        </w:rPr>
        <w:t>1</w:t>
      </w:r>
      <w:r>
        <w:t>.3 ст. 200</w:t>
      </w:r>
      <w:r>
        <w:rPr>
          <w:vertAlign w:val="superscript"/>
        </w:rPr>
        <w:t>1</w:t>
      </w:r>
      <w:r>
        <w:t xml:space="preserve"> ПКУ (</w:t>
      </w:r>
      <w:proofErr w:type="spellStart"/>
      <w:r>
        <w:t>Σ</w:t>
      </w:r>
      <w:r>
        <w:rPr>
          <w:vertAlign w:val="subscript"/>
        </w:rPr>
        <w:t>Накл</w:t>
      </w:r>
      <w:proofErr w:type="spellEnd"/>
      <w:r>
        <w:t xml:space="preserve">), є недостатньою для реєстрації таким платником податкової накладної або розрахунку коригування до такої податкової накладної за звітні періоди виникнення такого перевищення, платник податку має право зареєструвати податкову накладну або розрахунок коригування в ЄРПН на суму податку, що дорівнює значенню показника </w:t>
      </w:r>
      <w:proofErr w:type="spellStart"/>
      <w:r>
        <w:t>Σ</w:t>
      </w:r>
      <w:r>
        <w:rPr>
          <w:vertAlign w:val="subscript"/>
        </w:rPr>
        <w:t>Перевищ</w:t>
      </w:r>
      <w:proofErr w:type="spellEnd"/>
      <w:r>
        <w:t xml:space="preserve">, зменшеного на суму задекларованих до сплати податкових зобов'язань за періоди починаючи з 1 липня 2015 року (включаючи податкові зобов'язання, які були сплачені платником податку, та податкові зобов'язання, які не були сплачені платником податку) та збільшеного на значення показника </w:t>
      </w:r>
      <w:proofErr w:type="spellStart"/>
      <w:r>
        <w:t>Σ</w:t>
      </w:r>
      <w:r>
        <w:rPr>
          <w:vertAlign w:val="subscript"/>
        </w:rPr>
        <w:t>ПопРах</w:t>
      </w:r>
      <w:proofErr w:type="spellEnd"/>
      <w:r>
        <w:t xml:space="preserve"> незалежно від значення показника </w:t>
      </w:r>
      <w:proofErr w:type="spellStart"/>
      <w:r>
        <w:t>Σ</w:t>
      </w:r>
      <w:r>
        <w:rPr>
          <w:vertAlign w:val="subscript"/>
        </w:rPr>
        <w:t>Накл</w:t>
      </w:r>
      <w:proofErr w:type="spellEnd"/>
      <w:r>
        <w:t>, визначеного відповідно до п. 200</w:t>
      </w:r>
      <w:r>
        <w:rPr>
          <w:vertAlign w:val="superscript"/>
        </w:rPr>
        <w:t>1</w:t>
      </w:r>
      <w:r>
        <w:t>.3 цієї статті.</w:t>
      </w:r>
    </w:p>
    <w:p w:rsidR="00B86EC0" w:rsidRDefault="00B86EC0" w:rsidP="00B86EC0">
      <w:pPr>
        <w:pStyle w:val="a3"/>
        <w:jc w:val="both"/>
      </w:pPr>
      <w:r>
        <w:t xml:space="preserve">Платник податку має право зареєструвати в порядку, визначеному абзацом першим цього пункту, тільки податкові накладні за звітні періоди, в яких </w:t>
      </w:r>
      <w:proofErr w:type="spellStart"/>
      <w:r>
        <w:t>виникло</w:t>
      </w:r>
      <w:proofErr w:type="spellEnd"/>
      <w:r>
        <w:t xml:space="preserve"> перевищення податкових зобов'язань, зазначених платником у поданих податкових деклараціях з урахуванням уточнюючих розрахунків до них, над сумою податку, що міститься в складених таким платником податкових накладних та розрахунках коригування до таких податкових накладних, зареєстрованих в ЄРПН (</w:t>
      </w:r>
      <w:proofErr w:type="spellStart"/>
      <w:r>
        <w:t>Σ</w:t>
      </w:r>
      <w:r>
        <w:rPr>
          <w:vertAlign w:val="subscript"/>
        </w:rPr>
        <w:t>Перевищ</w:t>
      </w:r>
      <w:proofErr w:type="spellEnd"/>
      <w:r>
        <w:t>).</w:t>
      </w:r>
    </w:p>
    <w:p w:rsidR="00B86EC0" w:rsidRDefault="00B86EC0" w:rsidP="00B86EC0">
      <w:pPr>
        <w:pStyle w:val="a3"/>
        <w:jc w:val="both"/>
      </w:pPr>
      <w:r>
        <w:t>Що стосується надміру сплаченої суми ПДВ у розмірі 1 273 489 грн., яку 21.04.2017 р. платнику повернуто на електронний рахунок в СЕА ПДВ, то вона не приймає участі в обрахунку показників формули.</w:t>
      </w:r>
    </w:p>
    <w:p w:rsidR="00B86EC0" w:rsidRDefault="00B86EC0" w:rsidP="00B86EC0">
      <w:pPr>
        <w:pStyle w:val="a3"/>
        <w:jc w:val="both"/>
      </w:pPr>
      <w:r>
        <w:t xml:space="preserve">Суми надміру сплачених грошових зобов'язань з ПДВ, повернуті на електронний рахунок, не змінюють значення </w:t>
      </w:r>
      <w:proofErr w:type="spellStart"/>
      <w:r>
        <w:t>Σ</w:t>
      </w:r>
      <w:r>
        <w:rPr>
          <w:vertAlign w:val="subscript"/>
        </w:rPr>
        <w:t>ПопРах</w:t>
      </w:r>
      <w:proofErr w:type="spellEnd"/>
      <w:r>
        <w:t>, а отже, не змінюють суму, на яку платник має право зареєструвати податкові накладні та/або розрахунки коригування в ЄРПН.</w:t>
      </w:r>
    </w:p>
    <w:p w:rsidR="00B86EC0" w:rsidRDefault="00B86EC0" w:rsidP="00B86EC0">
      <w:pPr>
        <w:pStyle w:val="a3"/>
        <w:jc w:val="both"/>
      </w:pPr>
      <w:r>
        <w:t xml:space="preserve">Додатково повідомляємо, що згідно з п. 53 </w:t>
      </w:r>
      <w:proofErr w:type="spellStart"/>
      <w:r>
        <w:t>підрозд</w:t>
      </w:r>
      <w:proofErr w:type="spellEnd"/>
      <w:r>
        <w:t xml:space="preserve">. 2 </w:t>
      </w:r>
      <w:proofErr w:type="spellStart"/>
      <w:r>
        <w:t>розд</w:t>
      </w:r>
      <w:proofErr w:type="spellEnd"/>
      <w:r>
        <w:t xml:space="preserve">. XX ПКУ у 2017 році значення суми </w:t>
      </w:r>
      <w:proofErr w:type="spellStart"/>
      <w:r>
        <w:t>Σ</w:t>
      </w:r>
      <w:r>
        <w:rPr>
          <w:vertAlign w:val="subscript"/>
        </w:rPr>
        <w:t>Накл</w:t>
      </w:r>
      <w:proofErr w:type="spellEnd"/>
      <w:r>
        <w:t xml:space="preserve"> </w:t>
      </w:r>
      <w:proofErr w:type="spellStart"/>
      <w:r>
        <w:t>разово</w:t>
      </w:r>
      <w:proofErr w:type="spellEnd"/>
      <w:r>
        <w:t xml:space="preserve"> збільшено на суму коштів, повернутих у період з 1 січня 2016 року до 1 січня 2017 року платнику податку відповідно до п. 43.4 ст. 43 ПКУ на рахунок у СЕА ПДВ: перерахованих з поточного рахунку платника безпосередньо до бюджету; перерахованих з рахунка в системі електронного адміністрування ПДВ до бюджету за заявою платника відповідно до п. 200</w:t>
      </w:r>
      <w:r>
        <w:rPr>
          <w:vertAlign w:val="superscript"/>
        </w:rPr>
        <w:t>1</w:t>
      </w:r>
      <w:r>
        <w:t>.6 ст. 200</w:t>
      </w:r>
      <w:r>
        <w:rPr>
          <w:vertAlign w:val="superscript"/>
        </w:rPr>
        <w:t>1</w:t>
      </w:r>
      <w:r>
        <w:t xml:space="preserve"> ПКУ, який діяв у цей період.</w:t>
      </w:r>
    </w:p>
    <w:p w:rsidR="00DA7FC5" w:rsidRDefault="00DA7FC5"/>
    <w:sectPr w:rsidR="00DA7F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C0"/>
    <w:rsid w:val="00724FD5"/>
    <w:rsid w:val="00B86EC0"/>
    <w:rsid w:val="00DA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88F94-D52A-4085-95ED-83F5D496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86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6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3781</Words>
  <Characters>2156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2017-10-12T04:19:00Z</dcterms:created>
  <dcterms:modified xsi:type="dcterms:W3CDTF">2017-10-12T12:27:00Z</dcterms:modified>
</cp:coreProperties>
</file>