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C3E" w:rsidRPr="00F66C3E" w:rsidRDefault="00F66C3E" w:rsidP="00F66C3E">
      <w:pPr>
        <w:spacing w:after="150" w:line="240" w:lineRule="auto"/>
        <w:rPr>
          <w:rFonts w:ascii="Calibri" w:eastAsia="Times New Roman" w:hAnsi="Calibri" w:cs="Calibri"/>
          <w:color w:val="414242"/>
          <w:sz w:val="15"/>
          <w:szCs w:val="15"/>
          <w:lang w:eastAsia="uk-UA"/>
        </w:rPr>
      </w:pPr>
    </w:p>
    <w:p w:rsidR="00F66C3E" w:rsidRPr="00F66C3E" w:rsidRDefault="00F66C3E" w:rsidP="00F66C3E">
      <w:pPr>
        <w:spacing w:before="100" w:beforeAutospacing="1" w:after="100" w:afterAutospacing="1" w:line="240" w:lineRule="auto"/>
        <w:jc w:val="center"/>
        <w:rPr>
          <w:rFonts w:ascii="Calibri" w:eastAsia="Times New Roman" w:hAnsi="Calibri" w:cs="Calibri"/>
          <w:color w:val="414242"/>
          <w:sz w:val="23"/>
          <w:szCs w:val="23"/>
          <w:lang w:eastAsia="uk-UA"/>
        </w:rPr>
      </w:pPr>
      <w:r w:rsidRPr="00F66C3E">
        <w:rPr>
          <w:rFonts w:ascii="Calibri" w:eastAsia="Times New Roman" w:hAnsi="Calibri" w:cs="Calibri"/>
          <w:b/>
          <w:bCs/>
          <w:color w:val="414242"/>
          <w:sz w:val="23"/>
          <w:szCs w:val="23"/>
          <w:lang w:eastAsia="uk-UA"/>
        </w:rPr>
        <w:t>НАЦІОНАЛЬНИЙ БАНК УКРАЇНИ</w:t>
      </w:r>
    </w:p>
    <w:p w:rsidR="00F66C3E" w:rsidRPr="00F66C3E" w:rsidRDefault="00F66C3E" w:rsidP="00F66C3E">
      <w:pPr>
        <w:spacing w:before="100" w:beforeAutospacing="1" w:after="100" w:afterAutospacing="1" w:line="240" w:lineRule="auto"/>
        <w:jc w:val="center"/>
        <w:rPr>
          <w:rFonts w:ascii="Calibri" w:eastAsia="Times New Roman" w:hAnsi="Calibri" w:cs="Calibri"/>
          <w:color w:val="414242"/>
          <w:sz w:val="23"/>
          <w:szCs w:val="23"/>
          <w:lang w:eastAsia="uk-UA"/>
        </w:rPr>
      </w:pPr>
      <w:r w:rsidRPr="00F66C3E">
        <w:rPr>
          <w:rFonts w:ascii="Calibri" w:eastAsia="Times New Roman" w:hAnsi="Calibri" w:cs="Calibri"/>
          <w:b/>
          <w:bCs/>
          <w:color w:val="414242"/>
          <w:sz w:val="23"/>
          <w:szCs w:val="23"/>
          <w:lang w:eastAsia="uk-UA"/>
        </w:rPr>
        <w:t>ЛИСТ</w:t>
      </w:r>
    </w:p>
    <w:p w:rsidR="00F66C3E" w:rsidRPr="00F66C3E" w:rsidRDefault="00F66C3E" w:rsidP="00F66C3E">
      <w:pPr>
        <w:spacing w:before="100" w:beforeAutospacing="1" w:after="100" w:afterAutospacing="1" w:line="240" w:lineRule="auto"/>
        <w:jc w:val="center"/>
        <w:rPr>
          <w:rFonts w:ascii="Calibri" w:eastAsia="Times New Roman" w:hAnsi="Calibri" w:cs="Calibri"/>
          <w:color w:val="414242"/>
          <w:sz w:val="23"/>
          <w:szCs w:val="23"/>
          <w:lang w:eastAsia="uk-UA"/>
        </w:rPr>
      </w:pPr>
      <w:r w:rsidRPr="00F66C3E">
        <w:rPr>
          <w:rFonts w:ascii="Calibri" w:eastAsia="Times New Roman" w:hAnsi="Calibri" w:cs="Calibri"/>
          <w:b/>
          <w:bCs/>
          <w:color w:val="414242"/>
          <w:sz w:val="23"/>
          <w:szCs w:val="23"/>
          <w:lang w:eastAsia="uk-UA"/>
        </w:rPr>
        <w:t>від 07.03.2018 р. № 50-0007/13560</w:t>
      </w:r>
    </w:p>
    <w:p w:rsidR="00F66C3E" w:rsidRPr="00F66C3E" w:rsidRDefault="00F66C3E" w:rsidP="00F66C3E">
      <w:pPr>
        <w:spacing w:before="100" w:beforeAutospacing="1" w:after="100" w:afterAutospacing="1" w:line="240" w:lineRule="auto"/>
        <w:jc w:val="center"/>
        <w:rPr>
          <w:rFonts w:ascii="Calibri" w:eastAsia="Times New Roman" w:hAnsi="Calibri" w:cs="Calibri"/>
          <w:color w:val="414242"/>
          <w:sz w:val="23"/>
          <w:szCs w:val="23"/>
          <w:lang w:eastAsia="uk-UA"/>
        </w:rPr>
      </w:pPr>
      <w:r w:rsidRPr="00F66C3E">
        <w:rPr>
          <w:rFonts w:ascii="Calibri" w:eastAsia="Times New Roman" w:hAnsi="Calibri" w:cs="Calibri"/>
          <w:b/>
          <w:bCs/>
          <w:color w:val="414242"/>
          <w:sz w:val="23"/>
          <w:szCs w:val="23"/>
          <w:lang w:eastAsia="uk-UA"/>
        </w:rPr>
        <w:t>Роз'яснення з питань ведення касових операцій відокремленими підрозділами підприємств</w:t>
      </w:r>
    </w:p>
    <w:p w:rsidR="00F66C3E" w:rsidRPr="00F66C3E" w:rsidRDefault="00F66C3E" w:rsidP="00F66C3E">
      <w:pPr>
        <w:spacing w:before="100" w:beforeAutospacing="1" w:after="100" w:afterAutospacing="1" w:line="240" w:lineRule="auto"/>
        <w:jc w:val="both"/>
        <w:rPr>
          <w:rFonts w:ascii="Calibri" w:eastAsia="Times New Roman" w:hAnsi="Calibri" w:cs="Calibri"/>
          <w:color w:val="414242"/>
          <w:sz w:val="23"/>
          <w:szCs w:val="23"/>
          <w:lang w:eastAsia="uk-UA"/>
        </w:rPr>
      </w:pPr>
      <w:r w:rsidRPr="00F66C3E">
        <w:rPr>
          <w:rFonts w:ascii="Calibri" w:eastAsia="Times New Roman" w:hAnsi="Calibri" w:cs="Calibri"/>
          <w:color w:val="414242"/>
          <w:sz w:val="23"/>
          <w:szCs w:val="23"/>
          <w:lang w:eastAsia="uk-UA"/>
        </w:rPr>
        <w:t>Національний банк України розглянув лист &lt;...&gt; щодо надання роз'яснення з окремих питань ведення касових операцій відокремленими підрозділами підприємства та в межах компетенції повідомляє таке.</w:t>
      </w:r>
    </w:p>
    <w:p w:rsidR="00F66C3E" w:rsidRPr="00F66C3E" w:rsidRDefault="00F66C3E" w:rsidP="00F66C3E">
      <w:pPr>
        <w:spacing w:before="100" w:beforeAutospacing="1" w:after="100" w:afterAutospacing="1" w:line="240" w:lineRule="auto"/>
        <w:jc w:val="both"/>
        <w:rPr>
          <w:rFonts w:ascii="Calibri" w:eastAsia="Times New Roman" w:hAnsi="Calibri" w:cs="Calibri"/>
          <w:color w:val="414242"/>
          <w:sz w:val="23"/>
          <w:szCs w:val="23"/>
          <w:lang w:eastAsia="uk-UA"/>
        </w:rPr>
      </w:pPr>
      <w:r w:rsidRPr="00F66C3E">
        <w:rPr>
          <w:rFonts w:ascii="Calibri" w:eastAsia="Times New Roman" w:hAnsi="Calibri" w:cs="Calibri"/>
          <w:b/>
          <w:bCs/>
          <w:color w:val="414242"/>
          <w:sz w:val="23"/>
          <w:szCs w:val="23"/>
          <w:lang w:eastAsia="uk-UA"/>
        </w:rPr>
        <w:t>Стосовно першого питання</w:t>
      </w:r>
    </w:p>
    <w:p w:rsidR="00F66C3E" w:rsidRPr="00F66C3E" w:rsidRDefault="00F66C3E" w:rsidP="00F66C3E">
      <w:pPr>
        <w:spacing w:before="100" w:beforeAutospacing="1" w:after="100" w:afterAutospacing="1" w:line="240" w:lineRule="auto"/>
        <w:jc w:val="both"/>
        <w:rPr>
          <w:rFonts w:ascii="Calibri" w:eastAsia="Times New Roman" w:hAnsi="Calibri" w:cs="Calibri"/>
          <w:color w:val="414242"/>
          <w:sz w:val="23"/>
          <w:szCs w:val="23"/>
          <w:lang w:eastAsia="uk-UA"/>
        </w:rPr>
      </w:pPr>
      <w:r w:rsidRPr="00F66C3E">
        <w:rPr>
          <w:rFonts w:ascii="Calibri" w:eastAsia="Times New Roman" w:hAnsi="Calibri" w:cs="Calibri"/>
          <w:color w:val="414242"/>
          <w:sz w:val="23"/>
          <w:szCs w:val="23"/>
          <w:lang w:eastAsia="uk-UA"/>
        </w:rPr>
        <w:t>Згідно з пунктом 11 розділу II Положення про ведення касових операцій у національній валюті в Україні, затвердженого постановою Правління Національного банку України від 29.12.2017 р. N 148 (далі - Положення N 148), готівка, що надходить до кас, оприбутковується в день одержання готівки у повній сумі.</w:t>
      </w:r>
    </w:p>
    <w:p w:rsidR="00F66C3E" w:rsidRPr="00F66C3E" w:rsidRDefault="00F66C3E" w:rsidP="00F66C3E">
      <w:pPr>
        <w:spacing w:before="100" w:beforeAutospacing="1" w:after="100" w:afterAutospacing="1" w:line="240" w:lineRule="auto"/>
        <w:jc w:val="both"/>
        <w:rPr>
          <w:rFonts w:ascii="Calibri" w:eastAsia="Times New Roman" w:hAnsi="Calibri" w:cs="Calibri"/>
          <w:color w:val="414242"/>
          <w:sz w:val="23"/>
          <w:szCs w:val="23"/>
          <w:lang w:eastAsia="uk-UA"/>
        </w:rPr>
      </w:pPr>
      <w:r w:rsidRPr="00F66C3E">
        <w:rPr>
          <w:rFonts w:ascii="Calibri" w:eastAsia="Times New Roman" w:hAnsi="Calibri" w:cs="Calibri"/>
          <w:color w:val="414242"/>
          <w:sz w:val="23"/>
          <w:szCs w:val="23"/>
          <w:lang w:eastAsia="uk-UA"/>
        </w:rPr>
        <w:t xml:space="preserve">Оприбуткуванням готівки в касах установ / підприємств / відокремлених підрозділів, які проводять готівкові розрахунки з оформленням їх касовими ордерами і веденням касової книги / застосуванням РРО та КОРО (у разі застосування КОРО без застосування РРО), є здійснення обліку готівки в повній сумі її фактичних надходжень у касовій книзі на підставі прибуткових касових ордерів / фіскальних звітних </w:t>
      </w:r>
      <w:proofErr w:type="spellStart"/>
      <w:r w:rsidRPr="00F66C3E">
        <w:rPr>
          <w:rFonts w:ascii="Calibri" w:eastAsia="Times New Roman" w:hAnsi="Calibri" w:cs="Calibri"/>
          <w:color w:val="414242"/>
          <w:sz w:val="23"/>
          <w:szCs w:val="23"/>
          <w:lang w:eastAsia="uk-UA"/>
        </w:rPr>
        <w:t>чеків</w:t>
      </w:r>
      <w:proofErr w:type="spellEnd"/>
      <w:r w:rsidRPr="00F66C3E">
        <w:rPr>
          <w:rFonts w:ascii="Calibri" w:eastAsia="Times New Roman" w:hAnsi="Calibri" w:cs="Calibri"/>
          <w:color w:val="414242"/>
          <w:sz w:val="23"/>
          <w:szCs w:val="23"/>
          <w:lang w:eastAsia="uk-UA"/>
        </w:rPr>
        <w:t xml:space="preserve"> (або даних розрахункових квитанцій).</w:t>
      </w:r>
    </w:p>
    <w:p w:rsidR="00F66C3E" w:rsidRPr="00F66C3E" w:rsidRDefault="00F66C3E" w:rsidP="00F66C3E">
      <w:pPr>
        <w:spacing w:before="100" w:beforeAutospacing="1" w:after="100" w:afterAutospacing="1" w:line="240" w:lineRule="auto"/>
        <w:jc w:val="both"/>
        <w:rPr>
          <w:rFonts w:ascii="Calibri" w:eastAsia="Times New Roman" w:hAnsi="Calibri" w:cs="Calibri"/>
          <w:color w:val="414242"/>
          <w:sz w:val="23"/>
          <w:szCs w:val="23"/>
          <w:lang w:eastAsia="uk-UA"/>
        </w:rPr>
      </w:pPr>
      <w:r w:rsidRPr="00F66C3E">
        <w:rPr>
          <w:rFonts w:ascii="Calibri" w:eastAsia="Times New Roman" w:hAnsi="Calibri" w:cs="Calibri"/>
          <w:color w:val="414242"/>
          <w:sz w:val="23"/>
          <w:szCs w:val="23"/>
          <w:lang w:eastAsia="uk-UA"/>
        </w:rPr>
        <w:t>Згідно з пунктом 24 розділу III Положення N 148 розрахункові операції, що проводяться відповідно до Закону України "Про застосування реєстраторів розрахункових операцій у сфері торгівлі, громадського харчування та послуг", оформляються згідно з вимогами цього Закону.</w:t>
      </w:r>
    </w:p>
    <w:p w:rsidR="00F66C3E" w:rsidRPr="00F66C3E" w:rsidRDefault="00F66C3E" w:rsidP="00F66C3E">
      <w:pPr>
        <w:spacing w:before="100" w:beforeAutospacing="1" w:after="100" w:afterAutospacing="1" w:line="240" w:lineRule="auto"/>
        <w:jc w:val="both"/>
        <w:rPr>
          <w:rFonts w:ascii="Calibri" w:eastAsia="Times New Roman" w:hAnsi="Calibri" w:cs="Calibri"/>
          <w:color w:val="414242"/>
          <w:sz w:val="23"/>
          <w:szCs w:val="23"/>
          <w:lang w:eastAsia="uk-UA"/>
        </w:rPr>
      </w:pPr>
      <w:r w:rsidRPr="00F66C3E">
        <w:rPr>
          <w:rFonts w:ascii="Calibri" w:eastAsia="Times New Roman" w:hAnsi="Calibri" w:cs="Calibri"/>
          <w:color w:val="414242"/>
          <w:sz w:val="23"/>
          <w:szCs w:val="23"/>
          <w:lang w:eastAsia="uk-UA"/>
        </w:rPr>
        <w:t>Відповідно до абзацу четвертого пункту 39 розділу IV Положення N 148 відокремлені підрозділи  установ/підприємств, які здійснюють готівкові розрахунки із застосуванням РРО або РК та веденням КОРО, але не проводять операцій з приймання (видачі) готівки за касовими ордерами, а також фізичні особи - підприємці касової книги не ведуть.</w:t>
      </w:r>
    </w:p>
    <w:p w:rsidR="00F66C3E" w:rsidRPr="00F66C3E" w:rsidRDefault="00F66C3E" w:rsidP="00F66C3E">
      <w:pPr>
        <w:spacing w:before="100" w:beforeAutospacing="1" w:after="100" w:afterAutospacing="1" w:line="240" w:lineRule="auto"/>
        <w:jc w:val="both"/>
        <w:rPr>
          <w:rFonts w:ascii="Calibri" w:eastAsia="Times New Roman" w:hAnsi="Calibri" w:cs="Calibri"/>
          <w:color w:val="414242"/>
          <w:sz w:val="23"/>
          <w:szCs w:val="23"/>
          <w:lang w:eastAsia="uk-UA"/>
        </w:rPr>
      </w:pPr>
      <w:r w:rsidRPr="00F66C3E">
        <w:rPr>
          <w:rFonts w:ascii="Calibri" w:eastAsia="Times New Roman" w:hAnsi="Calibri" w:cs="Calibri"/>
          <w:color w:val="414242"/>
          <w:sz w:val="23"/>
          <w:szCs w:val="23"/>
          <w:lang w:eastAsia="uk-UA"/>
        </w:rPr>
        <w:t>Згідно з пунктом 16 розділу II Положення N 148 готівкова виручка (готівка) здається суб'єктами господарювання самостійно (у тому числі із застосуванням платіжних пристроїв та через пункти приймання готівки) або через відповідні служби, яким згідно із законодавством надано право на перевезення валютних цінностей та інкасацію коштів, або через підприємства; які отримали ліцензію Національного банку України на надання банкам послуг з інкасації.</w:t>
      </w:r>
    </w:p>
    <w:p w:rsidR="00F66C3E" w:rsidRPr="00F66C3E" w:rsidRDefault="00F66C3E" w:rsidP="00F66C3E">
      <w:pPr>
        <w:spacing w:before="100" w:beforeAutospacing="1" w:after="100" w:afterAutospacing="1" w:line="240" w:lineRule="auto"/>
        <w:jc w:val="both"/>
        <w:rPr>
          <w:rFonts w:ascii="Calibri" w:eastAsia="Times New Roman" w:hAnsi="Calibri" w:cs="Calibri"/>
          <w:color w:val="414242"/>
          <w:sz w:val="23"/>
          <w:szCs w:val="23"/>
          <w:lang w:eastAsia="uk-UA"/>
        </w:rPr>
      </w:pPr>
      <w:r w:rsidRPr="00F66C3E">
        <w:rPr>
          <w:rFonts w:ascii="Calibri" w:eastAsia="Times New Roman" w:hAnsi="Calibri" w:cs="Calibri"/>
          <w:color w:val="414242"/>
          <w:sz w:val="23"/>
          <w:szCs w:val="23"/>
          <w:lang w:eastAsia="uk-UA"/>
        </w:rPr>
        <w:t>Відповідно до пункту 29 розділу III Положення N 148 вилучення готівки з місця здійснення готівкових розрахунків із застосуванням РРО або РК для здавання її до банку оформляється відповідними чеками РРО із виконанням операції "службова видача".</w:t>
      </w:r>
    </w:p>
    <w:p w:rsidR="00F66C3E" w:rsidRPr="00F66C3E" w:rsidRDefault="00F66C3E" w:rsidP="00F66C3E">
      <w:pPr>
        <w:spacing w:before="100" w:beforeAutospacing="1" w:after="100" w:afterAutospacing="1" w:line="240" w:lineRule="auto"/>
        <w:jc w:val="both"/>
        <w:rPr>
          <w:rFonts w:ascii="Calibri" w:eastAsia="Times New Roman" w:hAnsi="Calibri" w:cs="Calibri"/>
          <w:color w:val="414242"/>
          <w:sz w:val="23"/>
          <w:szCs w:val="23"/>
          <w:lang w:eastAsia="uk-UA"/>
        </w:rPr>
      </w:pPr>
      <w:r w:rsidRPr="00F66C3E">
        <w:rPr>
          <w:rFonts w:ascii="Calibri" w:eastAsia="Times New Roman" w:hAnsi="Calibri" w:cs="Calibri"/>
          <w:color w:val="414242"/>
          <w:sz w:val="23"/>
          <w:szCs w:val="23"/>
          <w:lang w:eastAsia="uk-UA"/>
        </w:rPr>
        <w:t>Документом, що свідчить про здавання виручки до банку, є:</w:t>
      </w:r>
    </w:p>
    <w:p w:rsidR="00F66C3E" w:rsidRPr="00F66C3E" w:rsidRDefault="00F66C3E" w:rsidP="00F66C3E">
      <w:pPr>
        <w:numPr>
          <w:ilvl w:val="0"/>
          <w:numId w:val="1"/>
        </w:numPr>
        <w:spacing w:before="100" w:beforeAutospacing="1" w:after="100" w:afterAutospacing="1" w:line="240" w:lineRule="auto"/>
        <w:ind w:left="0"/>
        <w:rPr>
          <w:rFonts w:ascii="Calibri" w:eastAsia="Times New Roman" w:hAnsi="Calibri" w:cs="Calibri"/>
          <w:color w:val="414242"/>
          <w:sz w:val="23"/>
          <w:szCs w:val="23"/>
          <w:lang w:eastAsia="uk-UA"/>
        </w:rPr>
      </w:pPr>
      <w:r w:rsidRPr="00F66C3E">
        <w:rPr>
          <w:rFonts w:ascii="Calibri" w:eastAsia="Times New Roman" w:hAnsi="Calibri" w:cs="Calibri"/>
          <w:color w:val="414242"/>
          <w:sz w:val="23"/>
          <w:szCs w:val="23"/>
          <w:lang w:eastAsia="uk-UA"/>
        </w:rPr>
        <w:t>квитанція до прибуткового документа банку на внесення готівки, підписана відповідальними особами банку та засвідчена відбитком печатки банку;</w:t>
      </w:r>
    </w:p>
    <w:p w:rsidR="00F66C3E" w:rsidRPr="00F66C3E" w:rsidRDefault="00F66C3E" w:rsidP="00F66C3E">
      <w:pPr>
        <w:numPr>
          <w:ilvl w:val="0"/>
          <w:numId w:val="1"/>
        </w:numPr>
        <w:spacing w:before="100" w:beforeAutospacing="1" w:after="100" w:afterAutospacing="1" w:line="240" w:lineRule="auto"/>
        <w:ind w:left="0"/>
        <w:rPr>
          <w:rFonts w:ascii="Calibri" w:eastAsia="Times New Roman" w:hAnsi="Calibri" w:cs="Calibri"/>
          <w:color w:val="414242"/>
          <w:sz w:val="23"/>
          <w:szCs w:val="23"/>
          <w:lang w:eastAsia="uk-UA"/>
        </w:rPr>
      </w:pPr>
      <w:r w:rsidRPr="00F66C3E">
        <w:rPr>
          <w:rFonts w:ascii="Calibri" w:eastAsia="Times New Roman" w:hAnsi="Calibri" w:cs="Calibri"/>
          <w:color w:val="414242"/>
          <w:sz w:val="23"/>
          <w:szCs w:val="23"/>
          <w:lang w:eastAsia="uk-UA"/>
        </w:rPr>
        <w:t>квитанція/чек банкомата чи програмно-технічного комплексу самообслуговування;</w:t>
      </w:r>
    </w:p>
    <w:p w:rsidR="00F66C3E" w:rsidRPr="00F66C3E" w:rsidRDefault="00F66C3E" w:rsidP="00F66C3E">
      <w:pPr>
        <w:numPr>
          <w:ilvl w:val="0"/>
          <w:numId w:val="1"/>
        </w:numPr>
        <w:spacing w:before="100" w:beforeAutospacing="1" w:after="100" w:afterAutospacing="1" w:line="240" w:lineRule="auto"/>
        <w:ind w:left="0"/>
        <w:rPr>
          <w:rFonts w:ascii="Calibri" w:eastAsia="Times New Roman" w:hAnsi="Calibri" w:cs="Calibri"/>
          <w:color w:val="414242"/>
          <w:sz w:val="23"/>
          <w:szCs w:val="23"/>
          <w:lang w:eastAsia="uk-UA"/>
        </w:rPr>
      </w:pPr>
      <w:r w:rsidRPr="00F66C3E">
        <w:rPr>
          <w:rFonts w:ascii="Calibri" w:eastAsia="Times New Roman" w:hAnsi="Calibri" w:cs="Calibri"/>
          <w:color w:val="414242"/>
          <w:sz w:val="23"/>
          <w:szCs w:val="23"/>
          <w:lang w:eastAsia="uk-UA"/>
        </w:rPr>
        <w:t>копія супровідної відомості до сумки з готівковою виручкою (готівкою), засвідчена підписом та відбитком печатки інкасатора-збирача;</w:t>
      </w:r>
    </w:p>
    <w:p w:rsidR="00F66C3E" w:rsidRPr="00F66C3E" w:rsidRDefault="00F66C3E" w:rsidP="00F66C3E">
      <w:pPr>
        <w:numPr>
          <w:ilvl w:val="0"/>
          <w:numId w:val="1"/>
        </w:numPr>
        <w:spacing w:before="100" w:beforeAutospacing="1" w:after="100" w:afterAutospacing="1" w:line="240" w:lineRule="auto"/>
        <w:ind w:left="0"/>
        <w:rPr>
          <w:rFonts w:ascii="Calibri" w:eastAsia="Times New Roman" w:hAnsi="Calibri" w:cs="Calibri"/>
          <w:color w:val="414242"/>
          <w:sz w:val="23"/>
          <w:szCs w:val="23"/>
          <w:lang w:eastAsia="uk-UA"/>
        </w:rPr>
      </w:pPr>
      <w:r w:rsidRPr="00F66C3E">
        <w:rPr>
          <w:rFonts w:ascii="Calibri" w:eastAsia="Times New Roman" w:hAnsi="Calibri" w:cs="Calibri"/>
          <w:color w:val="414242"/>
          <w:sz w:val="23"/>
          <w:szCs w:val="23"/>
          <w:lang w:eastAsia="uk-UA"/>
        </w:rPr>
        <w:lastRenderedPageBreak/>
        <w:t>чек платіжного термінала в разі проведення інкасації коштів у режимі реального часу з використанням платіжних терміналів.</w:t>
      </w:r>
    </w:p>
    <w:p w:rsidR="00F66C3E" w:rsidRPr="00F66C3E" w:rsidRDefault="00F66C3E" w:rsidP="00F66C3E">
      <w:pPr>
        <w:spacing w:before="100" w:beforeAutospacing="1" w:after="100" w:afterAutospacing="1" w:line="240" w:lineRule="auto"/>
        <w:jc w:val="both"/>
        <w:rPr>
          <w:rFonts w:ascii="Calibri" w:eastAsia="Times New Roman" w:hAnsi="Calibri" w:cs="Calibri"/>
          <w:color w:val="414242"/>
          <w:sz w:val="23"/>
          <w:szCs w:val="23"/>
          <w:lang w:eastAsia="uk-UA"/>
        </w:rPr>
      </w:pPr>
      <w:r w:rsidRPr="00F66C3E">
        <w:rPr>
          <w:rFonts w:ascii="Calibri" w:eastAsia="Times New Roman" w:hAnsi="Calibri" w:cs="Calibri"/>
          <w:b/>
          <w:bCs/>
          <w:color w:val="414242"/>
          <w:sz w:val="23"/>
          <w:szCs w:val="23"/>
          <w:lang w:eastAsia="uk-UA"/>
        </w:rPr>
        <w:t>Готівкова виручка відокремлених підрозділів, які не ведуть касової книги, що здається ними до кас банку через інкасаторів-збирачів, зараховується на рахунок підприємства - юридичної особи у безготівковому порядку та не потребує оприбуткування в касовій книзі підприємства - юридичної особи.</w:t>
      </w:r>
    </w:p>
    <w:p w:rsidR="00F66C3E" w:rsidRPr="00F66C3E" w:rsidRDefault="00F66C3E" w:rsidP="00F66C3E">
      <w:pPr>
        <w:spacing w:before="100" w:beforeAutospacing="1" w:after="100" w:afterAutospacing="1" w:line="240" w:lineRule="auto"/>
        <w:jc w:val="both"/>
        <w:rPr>
          <w:rFonts w:ascii="Calibri" w:eastAsia="Times New Roman" w:hAnsi="Calibri" w:cs="Calibri"/>
          <w:color w:val="414242"/>
          <w:sz w:val="23"/>
          <w:szCs w:val="23"/>
          <w:lang w:eastAsia="uk-UA"/>
        </w:rPr>
      </w:pPr>
      <w:r w:rsidRPr="00F66C3E">
        <w:rPr>
          <w:rFonts w:ascii="Calibri" w:eastAsia="Times New Roman" w:hAnsi="Calibri" w:cs="Calibri"/>
          <w:b/>
          <w:bCs/>
          <w:color w:val="414242"/>
          <w:sz w:val="23"/>
          <w:szCs w:val="23"/>
          <w:lang w:eastAsia="uk-UA"/>
        </w:rPr>
        <w:t>Стосовно другого питання</w:t>
      </w:r>
    </w:p>
    <w:p w:rsidR="00F66C3E" w:rsidRPr="00F66C3E" w:rsidRDefault="00F66C3E" w:rsidP="00F66C3E">
      <w:pPr>
        <w:spacing w:before="100" w:beforeAutospacing="1" w:after="100" w:afterAutospacing="1" w:line="240" w:lineRule="auto"/>
        <w:jc w:val="both"/>
        <w:rPr>
          <w:rFonts w:ascii="Calibri" w:eastAsia="Times New Roman" w:hAnsi="Calibri" w:cs="Calibri"/>
          <w:color w:val="414242"/>
          <w:sz w:val="23"/>
          <w:szCs w:val="23"/>
          <w:lang w:eastAsia="uk-UA"/>
        </w:rPr>
      </w:pPr>
      <w:r w:rsidRPr="00F66C3E">
        <w:rPr>
          <w:rFonts w:ascii="Calibri" w:eastAsia="Times New Roman" w:hAnsi="Calibri" w:cs="Calibri"/>
          <w:color w:val="414242"/>
          <w:sz w:val="23"/>
          <w:szCs w:val="23"/>
          <w:lang w:eastAsia="uk-UA"/>
        </w:rPr>
        <w:t>Відповідно до вимог пункту 50 розділу V Положення N 148 установа, підприємство на підставі цього Положення та з урахуванням особливостей роботи зобов'язані розробити та затвердити внутрішнім документом порядок розрахунку ліміту каси установи, підприємства та їх відокремлених підрозділів. У розрахунку враховується строк здавання установою, підприємством готівкової виручки (готівки) для її зарахування на рахунки в банках, визначений відповідним договором банківського рахунка. Ліміт каси установи, підприємства встановлюють на підставі розрахунку середньоденного надходження готівки до каси або її середньоденної видачі з каси за рішенням керівника установи, підприємства або уповноваженої ним особи.</w:t>
      </w:r>
    </w:p>
    <w:p w:rsidR="00F66C3E" w:rsidRPr="00F66C3E" w:rsidRDefault="00F66C3E" w:rsidP="00F66C3E">
      <w:pPr>
        <w:spacing w:before="100" w:beforeAutospacing="1" w:after="100" w:afterAutospacing="1" w:line="240" w:lineRule="auto"/>
        <w:jc w:val="both"/>
        <w:rPr>
          <w:rFonts w:ascii="Calibri" w:eastAsia="Times New Roman" w:hAnsi="Calibri" w:cs="Calibri"/>
          <w:color w:val="414242"/>
          <w:sz w:val="23"/>
          <w:szCs w:val="23"/>
          <w:lang w:eastAsia="uk-UA"/>
        </w:rPr>
      </w:pPr>
      <w:r w:rsidRPr="00F66C3E">
        <w:rPr>
          <w:rFonts w:ascii="Calibri" w:eastAsia="Times New Roman" w:hAnsi="Calibri" w:cs="Calibri"/>
          <w:color w:val="414242"/>
          <w:sz w:val="23"/>
          <w:szCs w:val="23"/>
          <w:lang w:eastAsia="uk-UA"/>
        </w:rPr>
        <w:t>Для розрахунку ліміту каси установа, підприємство може вибирати </w:t>
      </w:r>
      <w:r w:rsidRPr="00F66C3E">
        <w:rPr>
          <w:rFonts w:ascii="Calibri" w:eastAsia="Times New Roman" w:hAnsi="Calibri" w:cs="Calibri"/>
          <w:b/>
          <w:bCs/>
          <w:color w:val="414242"/>
          <w:sz w:val="23"/>
          <w:szCs w:val="23"/>
          <w:lang w:eastAsia="uk-UA"/>
        </w:rPr>
        <w:t>будь-який період вибірки</w:t>
      </w:r>
      <w:r w:rsidRPr="00F66C3E">
        <w:rPr>
          <w:rFonts w:ascii="Calibri" w:eastAsia="Times New Roman" w:hAnsi="Calibri" w:cs="Calibri"/>
          <w:color w:val="414242"/>
          <w:sz w:val="23"/>
          <w:szCs w:val="23"/>
          <w:lang w:eastAsia="uk-UA"/>
        </w:rPr>
        <w:t> для розрахунку середньоденного надходження готівки до каси або її середньоденної видачі з каси.</w:t>
      </w:r>
    </w:p>
    <w:p w:rsidR="00F66C3E" w:rsidRPr="00F66C3E" w:rsidRDefault="00F66C3E" w:rsidP="00F66C3E">
      <w:pPr>
        <w:spacing w:before="100" w:beforeAutospacing="1" w:after="100" w:afterAutospacing="1" w:line="240" w:lineRule="auto"/>
        <w:jc w:val="both"/>
        <w:rPr>
          <w:rFonts w:ascii="Calibri" w:eastAsia="Times New Roman" w:hAnsi="Calibri" w:cs="Calibri"/>
          <w:color w:val="414242"/>
          <w:sz w:val="23"/>
          <w:szCs w:val="23"/>
          <w:lang w:eastAsia="uk-UA"/>
        </w:rPr>
      </w:pPr>
      <w:r w:rsidRPr="00F66C3E">
        <w:rPr>
          <w:rFonts w:ascii="Calibri" w:eastAsia="Times New Roman" w:hAnsi="Calibri" w:cs="Calibri"/>
          <w:color w:val="414242"/>
          <w:sz w:val="23"/>
          <w:szCs w:val="23"/>
          <w:lang w:eastAsia="uk-UA"/>
        </w:rPr>
        <w:t>Установа, підприємство затверджує внутрішніми документами установлений ліміт каси. Для відокремлених підрозділів ліміт каси установлюється і доводиться до їх відома відповідним внутрішнім документом установи, підприємства - юридичної особи, небанківської фінансової установи.</w:t>
      </w:r>
    </w:p>
    <w:p w:rsidR="00F66C3E" w:rsidRPr="00F66C3E" w:rsidRDefault="00F66C3E" w:rsidP="00F66C3E">
      <w:pPr>
        <w:spacing w:before="100" w:beforeAutospacing="1" w:after="100" w:afterAutospacing="1" w:line="240" w:lineRule="auto"/>
        <w:jc w:val="both"/>
        <w:rPr>
          <w:rFonts w:ascii="Calibri" w:eastAsia="Times New Roman" w:hAnsi="Calibri" w:cs="Calibri"/>
          <w:color w:val="414242"/>
          <w:sz w:val="23"/>
          <w:szCs w:val="23"/>
          <w:lang w:eastAsia="uk-UA"/>
        </w:rPr>
      </w:pPr>
      <w:r w:rsidRPr="00F66C3E">
        <w:rPr>
          <w:rFonts w:ascii="Calibri" w:eastAsia="Times New Roman" w:hAnsi="Calibri" w:cs="Calibri"/>
          <w:b/>
          <w:bCs/>
          <w:color w:val="414242"/>
          <w:sz w:val="23"/>
          <w:szCs w:val="23"/>
          <w:lang w:eastAsia="uk-UA"/>
        </w:rPr>
        <w:t>Стосовно третього та четвертого питання</w:t>
      </w:r>
    </w:p>
    <w:p w:rsidR="00F66C3E" w:rsidRPr="00F66C3E" w:rsidRDefault="00F66C3E" w:rsidP="00F66C3E">
      <w:pPr>
        <w:spacing w:before="100" w:beforeAutospacing="1" w:after="100" w:afterAutospacing="1" w:line="240" w:lineRule="auto"/>
        <w:jc w:val="both"/>
        <w:rPr>
          <w:rFonts w:ascii="Calibri" w:eastAsia="Times New Roman" w:hAnsi="Calibri" w:cs="Calibri"/>
          <w:color w:val="414242"/>
          <w:sz w:val="23"/>
          <w:szCs w:val="23"/>
          <w:lang w:eastAsia="uk-UA"/>
        </w:rPr>
      </w:pPr>
      <w:r w:rsidRPr="00F66C3E">
        <w:rPr>
          <w:rFonts w:ascii="Calibri" w:eastAsia="Times New Roman" w:hAnsi="Calibri" w:cs="Calibri"/>
          <w:color w:val="414242"/>
          <w:sz w:val="23"/>
          <w:szCs w:val="23"/>
          <w:lang w:eastAsia="uk-UA"/>
        </w:rPr>
        <w:t>Відповідно до пункту 26 розділу III Положення видача готівки з кас проводиться за видатковими касовими ордерами (додаток 3) або видатковими відомостями. Документи на видачу готівки підписуються керівником і головним бухгалтером або особою, уповноваженою керівником. До видаткових ордерів додаються заяви на видачу готівки, розрахунки.</w:t>
      </w:r>
    </w:p>
    <w:p w:rsidR="00F66C3E" w:rsidRPr="00F66C3E" w:rsidRDefault="00F66C3E" w:rsidP="00F66C3E">
      <w:pPr>
        <w:spacing w:before="100" w:beforeAutospacing="1" w:after="100" w:afterAutospacing="1" w:line="240" w:lineRule="auto"/>
        <w:jc w:val="both"/>
        <w:rPr>
          <w:rFonts w:ascii="Calibri" w:eastAsia="Times New Roman" w:hAnsi="Calibri" w:cs="Calibri"/>
          <w:color w:val="414242"/>
          <w:sz w:val="23"/>
          <w:szCs w:val="23"/>
          <w:lang w:eastAsia="uk-UA"/>
        </w:rPr>
      </w:pPr>
      <w:r w:rsidRPr="00F66C3E">
        <w:rPr>
          <w:rFonts w:ascii="Calibri" w:eastAsia="Times New Roman" w:hAnsi="Calibri" w:cs="Calibri"/>
          <w:color w:val="414242"/>
          <w:sz w:val="23"/>
          <w:szCs w:val="23"/>
          <w:lang w:eastAsia="uk-UA"/>
        </w:rPr>
        <w:t xml:space="preserve">Згідно з вимогами абзацу п'ятого пункту 32 розділу III Положення реквізити у видатковому ордері "Одержав", "Дата", "Сума", "Підпис одержувача", дані документа, що засвідчує особу отримувача [які заповнюються отримувачем готівки (додаток 3 до цього Положення)] та в прибутковому ордері "Прийнято від" не заповнюються в касових ордерах, які оформляються на загальну суму проведених установою/підприємством касових операцій (видача готівки за видатковими відомостями, електронними платіжними засобами, здавання готівки до банку, отримання готівки з банку за </w:t>
      </w:r>
      <w:proofErr w:type="spellStart"/>
      <w:r w:rsidRPr="00F66C3E">
        <w:rPr>
          <w:rFonts w:ascii="Calibri" w:eastAsia="Times New Roman" w:hAnsi="Calibri" w:cs="Calibri"/>
          <w:color w:val="414242"/>
          <w:sz w:val="23"/>
          <w:szCs w:val="23"/>
          <w:lang w:eastAsia="uk-UA"/>
        </w:rPr>
        <w:t>чеком</w:t>
      </w:r>
      <w:proofErr w:type="spellEnd"/>
      <w:r w:rsidRPr="00F66C3E">
        <w:rPr>
          <w:rFonts w:ascii="Calibri" w:eastAsia="Times New Roman" w:hAnsi="Calibri" w:cs="Calibri"/>
          <w:color w:val="414242"/>
          <w:sz w:val="23"/>
          <w:szCs w:val="23"/>
          <w:lang w:eastAsia="uk-UA"/>
        </w:rPr>
        <w:t xml:space="preserve"> та оприбуткування її в касі). Інші реквізити в касових ордерах та видаткових відомостях є обов'язковими до заповнення.</w:t>
      </w:r>
    </w:p>
    <w:p w:rsidR="00F66C3E" w:rsidRPr="00F66C3E" w:rsidRDefault="00F66C3E" w:rsidP="00F66C3E">
      <w:pPr>
        <w:spacing w:before="100" w:beforeAutospacing="1" w:after="100" w:afterAutospacing="1" w:line="240" w:lineRule="auto"/>
        <w:jc w:val="both"/>
        <w:rPr>
          <w:rFonts w:ascii="Calibri" w:eastAsia="Times New Roman" w:hAnsi="Calibri" w:cs="Calibri"/>
          <w:color w:val="414242"/>
          <w:sz w:val="23"/>
          <w:szCs w:val="23"/>
          <w:lang w:eastAsia="uk-UA"/>
        </w:rPr>
      </w:pPr>
      <w:r w:rsidRPr="00F66C3E">
        <w:rPr>
          <w:rFonts w:ascii="Calibri" w:eastAsia="Times New Roman" w:hAnsi="Calibri" w:cs="Calibri"/>
          <w:color w:val="414242"/>
          <w:sz w:val="23"/>
          <w:szCs w:val="23"/>
          <w:lang w:eastAsia="uk-UA"/>
        </w:rPr>
        <w:t>У разі якщо видатковий касовий ордер оформляється </w:t>
      </w:r>
      <w:r w:rsidRPr="00F66C3E">
        <w:rPr>
          <w:rFonts w:ascii="Calibri" w:eastAsia="Times New Roman" w:hAnsi="Calibri" w:cs="Calibri"/>
          <w:b/>
          <w:bCs/>
          <w:color w:val="414242"/>
          <w:sz w:val="23"/>
          <w:szCs w:val="23"/>
          <w:lang w:eastAsia="uk-UA"/>
        </w:rPr>
        <w:t>на загальну суму готівки</w:t>
      </w:r>
      <w:r w:rsidRPr="00F66C3E">
        <w:rPr>
          <w:rFonts w:ascii="Calibri" w:eastAsia="Times New Roman" w:hAnsi="Calibri" w:cs="Calibri"/>
          <w:color w:val="414242"/>
          <w:sz w:val="23"/>
          <w:szCs w:val="23"/>
          <w:lang w:eastAsia="uk-UA"/>
        </w:rPr>
        <w:t>, що видається, наприклад - по видатковій відомості працівникам підприємства, то у </w:t>
      </w:r>
      <w:r w:rsidRPr="00F66C3E">
        <w:rPr>
          <w:rFonts w:ascii="Calibri" w:eastAsia="Times New Roman" w:hAnsi="Calibri" w:cs="Calibri"/>
          <w:b/>
          <w:bCs/>
          <w:color w:val="414242"/>
          <w:sz w:val="23"/>
          <w:szCs w:val="23"/>
          <w:lang w:eastAsia="uk-UA"/>
        </w:rPr>
        <w:t>реквізиті "Видати" зазначається прізвище, ім'я, по батькові особи, яка видає кошти (касир)</w:t>
      </w:r>
      <w:r w:rsidRPr="00F66C3E">
        <w:rPr>
          <w:rFonts w:ascii="Calibri" w:eastAsia="Times New Roman" w:hAnsi="Calibri" w:cs="Calibri"/>
          <w:color w:val="414242"/>
          <w:sz w:val="23"/>
          <w:szCs w:val="23"/>
          <w:lang w:eastAsia="uk-UA"/>
        </w:rPr>
        <w:t>.</w:t>
      </w:r>
    </w:p>
    <w:p w:rsidR="00F66C3E" w:rsidRPr="00F66C3E" w:rsidRDefault="00F66C3E" w:rsidP="00F66C3E">
      <w:pPr>
        <w:spacing w:before="100" w:beforeAutospacing="1" w:after="100" w:afterAutospacing="1" w:line="240" w:lineRule="auto"/>
        <w:jc w:val="both"/>
        <w:rPr>
          <w:rFonts w:ascii="Calibri" w:eastAsia="Times New Roman" w:hAnsi="Calibri" w:cs="Calibri"/>
          <w:color w:val="414242"/>
          <w:sz w:val="23"/>
          <w:szCs w:val="23"/>
          <w:lang w:eastAsia="uk-UA"/>
        </w:rPr>
      </w:pPr>
      <w:r w:rsidRPr="00F66C3E">
        <w:rPr>
          <w:rFonts w:ascii="Calibri" w:eastAsia="Times New Roman" w:hAnsi="Calibri" w:cs="Calibri"/>
          <w:color w:val="414242"/>
          <w:sz w:val="23"/>
          <w:szCs w:val="23"/>
          <w:lang w:eastAsia="uk-UA"/>
        </w:rPr>
        <w:t xml:space="preserve">При здійсненні перевірок щодо дотримання порядку ведення операцій з готівкою установами/підприємствами Державна фіскальна служба України керується вимогами розділу VI Положення "Контроль за дотриманням порядку ведення операцій з готівкою". Зокрема, підпунктом 1 пункту 58 Положення N 148 передбачено, що контролюючий орган перевіряє виконання установою/підприємством вимог цього Положення щодо дотримання порядку </w:t>
      </w:r>
      <w:r w:rsidRPr="00F66C3E">
        <w:rPr>
          <w:rFonts w:ascii="Calibri" w:eastAsia="Times New Roman" w:hAnsi="Calibri" w:cs="Calibri"/>
          <w:color w:val="414242"/>
          <w:sz w:val="23"/>
          <w:szCs w:val="23"/>
          <w:lang w:eastAsia="uk-UA"/>
        </w:rPr>
        <w:lastRenderedPageBreak/>
        <w:t>ведення касової книги та оформлення операцій з приймання та видачі готівки з каси, ведення відповідних касових документів.</w:t>
      </w:r>
    </w:p>
    <w:p w:rsidR="00F66C3E" w:rsidRPr="00F66C3E" w:rsidRDefault="00F66C3E" w:rsidP="00F66C3E">
      <w:pPr>
        <w:spacing w:before="100" w:beforeAutospacing="1" w:after="100" w:afterAutospacing="1" w:line="240" w:lineRule="auto"/>
        <w:jc w:val="both"/>
        <w:rPr>
          <w:rFonts w:ascii="Calibri" w:eastAsia="Times New Roman" w:hAnsi="Calibri" w:cs="Calibri"/>
          <w:color w:val="414242"/>
          <w:sz w:val="23"/>
          <w:szCs w:val="23"/>
          <w:lang w:eastAsia="uk-UA"/>
        </w:rPr>
      </w:pPr>
      <w:r w:rsidRPr="00F66C3E">
        <w:rPr>
          <w:rFonts w:ascii="Calibri" w:eastAsia="Times New Roman" w:hAnsi="Calibri" w:cs="Calibri"/>
          <w:color w:val="414242"/>
          <w:sz w:val="23"/>
          <w:szCs w:val="23"/>
          <w:lang w:eastAsia="uk-UA"/>
        </w:rPr>
        <w:t>Одночасно зазначаємо, що </w:t>
      </w:r>
      <w:r w:rsidRPr="00F66C3E">
        <w:rPr>
          <w:rFonts w:ascii="Calibri" w:eastAsia="Times New Roman" w:hAnsi="Calibri" w:cs="Calibri"/>
          <w:b/>
          <w:bCs/>
          <w:color w:val="414242"/>
          <w:sz w:val="23"/>
          <w:szCs w:val="23"/>
          <w:lang w:eastAsia="uk-UA"/>
        </w:rPr>
        <w:t>вимоги Положення N 148 набрали чинності з 05.01.2018 р., а отже, є обов'язковими до виконання з 05.01.2018 р</w:t>
      </w:r>
      <w:r w:rsidRPr="00F66C3E">
        <w:rPr>
          <w:rFonts w:ascii="Calibri" w:eastAsia="Times New Roman" w:hAnsi="Calibri" w:cs="Calibri"/>
          <w:color w:val="414242"/>
          <w:sz w:val="23"/>
          <w:szCs w:val="23"/>
          <w:lang w:eastAsia="uk-UA"/>
        </w:rPr>
        <w:t>.</w:t>
      </w:r>
    </w:p>
    <w:p w:rsidR="00F66C3E" w:rsidRPr="00F66C3E" w:rsidRDefault="00F66C3E" w:rsidP="00F66C3E">
      <w:pPr>
        <w:spacing w:before="100" w:beforeAutospacing="1" w:after="100" w:afterAutospacing="1" w:line="240" w:lineRule="auto"/>
        <w:jc w:val="both"/>
        <w:rPr>
          <w:rFonts w:ascii="Calibri" w:eastAsia="Times New Roman" w:hAnsi="Calibri" w:cs="Calibri"/>
          <w:color w:val="414242"/>
          <w:sz w:val="23"/>
          <w:szCs w:val="23"/>
          <w:lang w:eastAsia="uk-UA"/>
        </w:rPr>
      </w:pPr>
      <w:r w:rsidRPr="00F66C3E">
        <w:rPr>
          <w:rFonts w:ascii="Calibri" w:eastAsia="Times New Roman" w:hAnsi="Calibri" w:cs="Calibri"/>
          <w:color w:val="414242"/>
          <w:sz w:val="23"/>
          <w:szCs w:val="23"/>
          <w:lang w:eastAsia="uk-UA"/>
        </w:rPr>
        <w:t> </w:t>
      </w:r>
    </w:p>
    <w:tbl>
      <w:tblPr>
        <w:tblW w:w="10057" w:type="dxa"/>
        <w:tblCellMar>
          <w:top w:w="15" w:type="dxa"/>
          <w:left w:w="15" w:type="dxa"/>
          <w:bottom w:w="15" w:type="dxa"/>
          <w:right w:w="15" w:type="dxa"/>
        </w:tblCellMar>
        <w:tblLook w:val="04A0" w:firstRow="1" w:lastRow="0" w:firstColumn="1" w:lastColumn="0" w:noHBand="0" w:noVBand="1"/>
      </w:tblPr>
      <w:tblGrid>
        <w:gridCol w:w="6591"/>
        <w:gridCol w:w="3466"/>
      </w:tblGrid>
      <w:tr w:rsidR="00F66C3E" w:rsidRPr="00F66C3E" w:rsidTr="00F66C3E">
        <w:trPr>
          <w:trHeight w:val="450"/>
        </w:trPr>
        <w:tc>
          <w:tcPr>
            <w:tcW w:w="3277" w:type="pct"/>
            <w:tcBorders>
              <w:top w:val="single" w:sz="6" w:space="0" w:color="E7E7E7"/>
              <w:left w:val="single" w:sz="6" w:space="0" w:color="E7E7E7"/>
              <w:bottom w:val="single" w:sz="6" w:space="0" w:color="E7E7E7"/>
              <w:right w:val="single" w:sz="6" w:space="0" w:color="E7E7E7"/>
            </w:tcBorders>
            <w:tcMar>
              <w:top w:w="75" w:type="dxa"/>
              <w:left w:w="150" w:type="dxa"/>
              <w:bottom w:w="75" w:type="dxa"/>
              <w:right w:w="150" w:type="dxa"/>
            </w:tcMar>
            <w:vAlign w:val="center"/>
            <w:hideMark/>
          </w:tcPr>
          <w:p w:rsidR="00F66C3E" w:rsidRPr="00F66C3E" w:rsidRDefault="00F66C3E" w:rsidP="00F66C3E">
            <w:pPr>
              <w:spacing w:before="100" w:beforeAutospacing="1" w:after="100" w:afterAutospacing="1" w:line="240" w:lineRule="auto"/>
              <w:rPr>
                <w:rFonts w:ascii="Times New Roman" w:eastAsia="Times New Roman" w:hAnsi="Times New Roman" w:cs="Times New Roman"/>
                <w:sz w:val="23"/>
                <w:szCs w:val="23"/>
                <w:lang w:eastAsia="uk-UA"/>
              </w:rPr>
            </w:pPr>
            <w:r w:rsidRPr="00F66C3E">
              <w:rPr>
                <w:rFonts w:ascii="Times New Roman" w:eastAsia="Times New Roman" w:hAnsi="Times New Roman" w:cs="Times New Roman"/>
                <w:b/>
                <w:bCs/>
                <w:sz w:val="23"/>
                <w:szCs w:val="23"/>
                <w:lang w:eastAsia="uk-UA"/>
              </w:rPr>
              <w:t>Директор Департаменту </w:t>
            </w:r>
            <w:r w:rsidRPr="00F66C3E">
              <w:rPr>
                <w:rFonts w:ascii="Times New Roman" w:eastAsia="Times New Roman" w:hAnsi="Times New Roman" w:cs="Times New Roman"/>
                <w:sz w:val="23"/>
                <w:szCs w:val="23"/>
                <w:lang w:eastAsia="uk-UA"/>
              </w:rPr>
              <w:br/>
            </w:r>
            <w:r w:rsidRPr="00F66C3E">
              <w:rPr>
                <w:rFonts w:ascii="Times New Roman" w:eastAsia="Times New Roman" w:hAnsi="Times New Roman" w:cs="Times New Roman"/>
                <w:b/>
                <w:bCs/>
                <w:sz w:val="23"/>
                <w:szCs w:val="23"/>
                <w:lang w:eastAsia="uk-UA"/>
              </w:rPr>
              <w:t>грошового обігу</w:t>
            </w:r>
            <w:r w:rsidRPr="00F66C3E">
              <w:rPr>
                <w:rFonts w:ascii="Times New Roman" w:eastAsia="Times New Roman" w:hAnsi="Times New Roman" w:cs="Times New Roman"/>
                <w:sz w:val="23"/>
                <w:szCs w:val="23"/>
                <w:lang w:eastAsia="uk-UA"/>
              </w:rPr>
              <w:br/>
            </w:r>
            <w:r w:rsidRPr="00F66C3E">
              <w:rPr>
                <w:rFonts w:ascii="Times New Roman" w:eastAsia="Times New Roman" w:hAnsi="Times New Roman" w:cs="Times New Roman"/>
                <w:b/>
                <w:bCs/>
                <w:sz w:val="23"/>
                <w:szCs w:val="23"/>
                <w:lang w:eastAsia="uk-UA"/>
              </w:rPr>
              <w:t>Національного банку України</w:t>
            </w:r>
          </w:p>
        </w:tc>
        <w:tc>
          <w:tcPr>
            <w:tcW w:w="1723" w:type="pct"/>
            <w:tcBorders>
              <w:top w:val="single" w:sz="6" w:space="0" w:color="E7E7E7"/>
              <w:left w:val="single" w:sz="6" w:space="0" w:color="E7E7E7"/>
              <w:bottom w:val="single" w:sz="6" w:space="0" w:color="E7E7E7"/>
              <w:right w:val="single" w:sz="6" w:space="0" w:color="E7E7E7"/>
            </w:tcBorders>
            <w:tcMar>
              <w:top w:w="75" w:type="dxa"/>
              <w:left w:w="150" w:type="dxa"/>
              <w:bottom w:w="75" w:type="dxa"/>
              <w:right w:w="150" w:type="dxa"/>
            </w:tcMar>
            <w:vAlign w:val="center"/>
            <w:hideMark/>
          </w:tcPr>
          <w:p w:rsidR="00F66C3E" w:rsidRPr="00F66C3E" w:rsidRDefault="00F66C3E" w:rsidP="00F66C3E">
            <w:pPr>
              <w:spacing w:before="100" w:beforeAutospacing="1" w:after="100" w:afterAutospacing="1" w:line="240" w:lineRule="auto"/>
              <w:ind w:right="2"/>
              <w:jc w:val="both"/>
              <w:rPr>
                <w:rFonts w:ascii="Times New Roman" w:eastAsia="Times New Roman" w:hAnsi="Times New Roman" w:cs="Times New Roman"/>
                <w:sz w:val="23"/>
                <w:szCs w:val="23"/>
                <w:lang w:eastAsia="uk-UA"/>
              </w:rPr>
            </w:pPr>
            <w:r w:rsidRPr="00F66C3E">
              <w:rPr>
                <w:rFonts w:ascii="Times New Roman" w:eastAsia="Times New Roman" w:hAnsi="Times New Roman" w:cs="Times New Roman"/>
                <w:b/>
                <w:bCs/>
                <w:sz w:val="23"/>
                <w:szCs w:val="23"/>
                <w:lang w:eastAsia="uk-UA"/>
              </w:rPr>
              <w:t xml:space="preserve">П. </w:t>
            </w:r>
            <w:proofErr w:type="spellStart"/>
            <w:r w:rsidRPr="00F66C3E">
              <w:rPr>
                <w:rFonts w:ascii="Times New Roman" w:eastAsia="Times New Roman" w:hAnsi="Times New Roman" w:cs="Times New Roman"/>
                <w:b/>
                <w:bCs/>
                <w:sz w:val="23"/>
                <w:szCs w:val="23"/>
                <w:lang w:eastAsia="uk-UA"/>
              </w:rPr>
              <w:t>Зайвенко</w:t>
            </w:r>
            <w:bookmarkStart w:id="0" w:name="_GoBack"/>
            <w:bookmarkEnd w:id="0"/>
            <w:proofErr w:type="spellEnd"/>
          </w:p>
        </w:tc>
      </w:tr>
    </w:tbl>
    <w:p w:rsidR="00A24A4B" w:rsidRDefault="00A24A4B"/>
    <w:sectPr w:rsidR="00A24A4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E03CCC"/>
    <w:multiLevelType w:val="multilevel"/>
    <w:tmpl w:val="43EAB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3E"/>
    <w:rsid w:val="00A24A4B"/>
    <w:rsid w:val="00F66C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AF2A2-3636-4FEB-B29F-92F1E92B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62544">
      <w:bodyDiv w:val="1"/>
      <w:marLeft w:val="0"/>
      <w:marRight w:val="0"/>
      <w:marTop w:val="0"/>
      <w:marBottom w:val="0"/>
      <w:divBdr>
        <w:top w:val="none" w:sz="0" w:space="0" w:color="auto"/>
        <w:left w:val="none" w:sz="0" w:space="0" w:color="auto"/>
        <w:bottom w:val="none" w:sz="0" w:space="0" w:color="auto"/>
        <w:right w:val="none" w:sz="0" w:space="0" w:color="auto"/>
      </w:divBdr>
      <w:divsChild>
        <w:div w:id="920332057">
          <w:marLeft w:val="0"/>
          <w:marRight w:val="0"/>
          <w:marTop w:val="375"/>
          <w:marBottom w:val="150"/>
          <w:divBdr>
            <w:top w:val="none" w:sz="0" w:space="0" w:color="auto"/>
            <w:left w:val="none" w:sz="0" w:space="0" w:color="auto"/>
            <w:bottom w:val="none" w:sz="0" w:space="0" w:color="auto"/>
            <w:right w:val="none" w:sz="0" w:space="0" w:color="auto"/>
          </w:divBdr>
          <w:divsChild>
            <w:div w:id="545415386">
              <w:marLeft w:val="0"/>
              <w:marRight w:val="0"/>
              <w:marTop w:val="0"/>
              <w:marBottom w:val="0"/>
              <w:divBdr>
                <w:top w:val="none" w:sz="0" w:space="0" w:color="auto"/>
                <w:left w:val="none" w:sz="0" w:space="0" w:color="auto"/>
                <w:bottom w:val="none" w:sz="0" w:space="0" w:color="auto"/>
                <w:right w:val="none" w:sz="0" w:space="0" w:color="auto"/>
              </w:divBdr>
              <w:divsChild>
                <w:div w:id="17712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32166">
          <w:marLeft w:val="0"/>
          <w:marRight w:val="0"/>
          <w:marTop w:val="0"/>
          <w:marBottom w:val="0"/>
          <w:divBdr>
            <w:top w:val="none" w:sz="0" w:space="0" w:color="auto"/>
            <w:left w:val="none" w:sz="0" w:space="0" w:color="auto"/>
            <w:bottom w:val="none" w:sz="0" w:space="0" w:color="auto"/>
            <w:right w:val="none" w:sz="0" w:space="0" w:color="auto"/>
          </w:divBdr>
          <w:divsChild>
            <w:div w:id="203850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4126</Words>
  <Characters>2352</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Пискун Антон</dc:creator>
  <cp:keywords/>
  <dc:description/>
  <cp:lastModifiedBy>Пискун Антон</cp:lastModifiedBy>
  <cp:revision>1</cp:revision>
  <dcterms:created xsi:type="dcterms:W3CDTF">2018-04-05T04:40:00Z</dcterms:created>
  <dcterms:modified xsi:type="dcterms:W3CDTF">2018-04-05T04:42:00Z</dcterms:modified>
</cp:coreProperties>
</file>