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5F805" w14:textId="77777777" w:rsidR="00EE26C0" w:rsidRPr="00EE26C0" w:rsidRDefault="00EE26C0" w:rsidP="00EE26C0">
      <w:pPr>
        <w:shd w:val="clear" w:color="auto" w:fill="FFFFFF"/>
        <w:spacing w:after="0" w:line="240" w:lineRule="auto"/>
        <w:jc w:val="center"/>
        <w:textAlignment w:val="baseline"/>
        <w:rPr>
          <w:rFonts w:ascii="Helvetica" w:eastAsia="Times New Roman" w:hAnsi="Helvetica" w:cs="Helvetica"/>
          <w:color w:val="333333"/>
          <w:sz w:val="24"/>
          <w:szCs w:val="24"/>
          <w:lang w:val="uk-UA" w:eastAsia="ru-UA"/>
        </w:rPr>
      </w:pPr>
      <w:r w:rsidRPr="00EE26C0">
        <w:rPr>
          <w:rFonts w:ascii="inherit" w:eastAsia="Times New Roman" w:hAnsi="inherit" w:cs="Helvetica"/>
          <w:b/>
          <w:bCs/>
          <w:color w:val="333333"/>
          <w:sz w:val="24"/>
          <w:szCs w:val="24"/>
          <w:bdr w:val="none" w:sz="0" w:space="0" w:color="auto" w:frame="1"/>
          <w:lang w:val="uk-UA" w:eastAsia="ru-UA"/>
        </w:rPr>
        <w:t>МІНІСТЕРСТВО ЮСТИЦІЇ УКРАЇНИ</w:t>
      </w:r>
    </w:p>
    <w:p w14:paraId="19F88C7E" w14:textId="77777777" w:rsidR="00EE26C0" w:rsidRPr="00EE26C0" w:rsidRDefault="00EE26C0" w:rsidP="00EE26C0">
      <w:pPr>
        <w:shd w:val="clear" w:color="auto" w:fill="FFFFFF"/>
        <w:spacing w:after="300" w:line="240" w:lineRule="auto"/>
        <w:jc w:val="center"/>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ЛИСТ</w:t>
      </w:r>
    </w:p>
    <w:p w14:paraId="6F328BD9" w14:textId="77777777" w:rsidR="00EE26C0" w:rsidRPr="00EE26C0" w:rsidRDefault="00EE26C0" w:rsidP="00EE26C0">
      <w:pPr>
        <w:shd w:val="clear" w:color="auto" w:fill="FFFFFF"/>
        <w:spacing w:after="0" w:line="240" w:lineRule="auto"/>
        <w:jc w:val="center"/>
        <w:textAlignment w:val="baseline"/>
        <w:rPr>
          <w:rFonts w:ascii="Helvetica" w:eastAsia="Times New Roman" w:hAnsi="Helvetica" w:cs="Helvetica"/>
          <w:color w:val="333333"/>
          <w:sz w:val="24"/>
          <w:szCs w:val="24"/>
          <w:lang w:val="uk-UA" w:eastAsia="ru-UA"/>
        </w:rPr>
      </w:pPr>
      <w:r w:rsidRPr="00EE26C0">
        <w:rPr>
          <w:rFonts w:ascii="inherit" w:eastAsia="Times New Roman" w:hAnsi="inherit" w:cs="Helvetica"/>
          <w:b/>
          <w:bCs/>
          <w:color w:val="333333"/>
          <w:sz w:val="24"/>
          <w:szCs w:val="24"/>
          <w:bdr w:val="none" w:sz="0" w:space="0" w:color="auto" w:frame="1"/>
          <w:lang w:val="uk-UA" w:eastAsia="ru-UA"/>
        </w:rPr>
        <w:t>від 15.02.2022 р. № 19247/17278-33-22/8.4.3</w:t>
      </w:r>
    </w:p>
    <w:p w14:paraId="012BFF05" w14:textId="77777777" w:rsidR="00EE26C0" w:rsidRPr="00EE26C0" w:rsidRDefault="00EE26C0" w:rsidP="00EE26C0">
      <w:pPr>
        <w:shd w:val="clear" w:color="auto" w:fill="FFFFFF"/>
        <w:spacing w:before="199" w:after="120" w:line="240" w:lineRule="auto"/>
        <w:jc w:val="center"/>
        <w:textAlignment w:val="baseline"/>
        <w:outlineLvl w:val="1"/>
        <w:rPr>
          <w:rFonts w:ascii="Helvetica" w:eastAsia="Times New Roman" w:hAnsi="Helvetica" w:cs="Helvetica"/>
          <w:color w:val="212121"/>
          <w:sz w:val="47"/>
          <w:szCs w:val="47"/>
          <w:lang w:val="uk-UA" w:eastAsia="ru-UA"/>
        </w:rPr>
      </w:pPr>
      <w:r w:rsidRPr="00EE26C0">
        <w:rPr>
          <w:rFonts w:ascii="Helvetica" w:eastAsia="Times New Roman" w:hAnsi="Helvetica" w:cs="Helvetica"/>
          <w:color w:val="212121"/>
          <w:sz w:val="47"/>
          <w:szCs w:val="47"/>
          <w:lang w:val="uk-UA" w:eastAsia="ru-UA"/>
        </w:rPr>
        <w:t>Щодо результатів розгляду листа</w:t>
      </w:r>
    </w:p>
    <w:p w14:paraId="0FE3079C"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 xml:space="preserve">Міністерство юстиції України розглянуло лист приватного акціонерного товариства “Київський картонно-паперовий комбінат” від 26 січня 2022 року № 15-979 щодо деяких питань, пов’язаних із поданням інформації про кінцевого </w:t>
      </w:r>
      <w:proofErr w:type="spellStart"/>
      <w:r w:rsidRPr="00EE26C0">
        <w:rPr>
          <w:rFonts w:ascii="Helvetica" w:eastAsia="Times New Roman" w:hAnsi="Helvetica" w:cs="Helvetica"/>
          <w:color w:val="333333"/>
          <w:sz w:val="24"/>
          <w:szCs w:val="24"/>
          <w:lang w:val="uk-UA" w:eastAsia="ru-UA"/>
        </w:rPr>
        <w:t>бенефіціарного</w:t>
      </w:r>
      <w:proofErr w:type="spellEnd"/>
      <w:r w:rsidRPr="00EE26C0">
        <w:rPr>
          <w:rFonts w:ascii="Helvetica" w:eastAsia="Times New Roman" w:hAnsi="Helvetica" w:cs="Helvetica"/>
          <w:color w:val="333333"/>
          <w:sz w:val="24"/>
          <w:szCs w:val="24"/>
          <w:lang w:val="uk-UA" w:eastAsia="ru-UA"/>
        </w:rPr>
        <w:t xml:space="preserve"> власника юридичної особи (далі – КБВ), та в межах компетенції повідомляє.</w:t>
      </w:r>
    </w:p>
    <w:p w14:paraId="13A7A645"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Мін’юст, відповідно до Положення про Міністерство юстиції України, затвердженого постановою Кабінету Міністрів України від 02 липня 2014 року № 228, є головним органом у системі центральних органів виконавчої влади, що забезпечує формування та реалізує державну політику, зокрема, у сфері державної реєстрації юридичних осіб, громадських формувань, що не мають статусу юридичної особи, та фізичних осіб – підприємців.</w:t>
      </w:r>
    </w:p>
    <w:p w14:paraId="21A265B2"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Розглядаючи порушені у листі питання, пов’язані із поданням інформації про КБВ, зазначаємо, що прийнятий 06 грудня 2019 року Закон України №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 361-IX) спрямований на захист прав та законних інтересів громадян, суспільства і держави шляхом визначення правового механізму запобігання та протидії легалізації (відмиванню) доходів, одержаних злочинним шляхом.</w:t>
      </w:r>
    </w:p>
    <w:p w14:paraId="6E241778"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Так, пунктом 4 розділу X “Прикінцеві та перехідні положення” Закону № 361-IX </w:t>
      </w:r>
      <w:r w:rsidRPr="00EE26C0">
        <w:rPr>
          <w:rFonts w:ascii="inherit" w:eastAsia="Times New Roman" w:hAnsi="inherit" w:cs="Helvetica"/>
          <w:i/>
          <w:iCs/>
          <w:color w:val="333333"/>
          <w:sz w:val="24"/>
          <w:szCs w:val="24"/>
          <w:bdr w:val="none" w:sz="0" w:space="0" w:color="auto" w:frame="1"/>
          <w:lang w:val="uk-UA" w:eastAsia="ru-UA"/>
        </w:rPr>
        <w:t>було встановлено</w:t>
      </w:r>
      <w:r w:rsidRPr="00EE26C0">
        <w:rPr>
          <w:rFonts w:ascii="Helvetica" w:eastAsia="Times New Roman" w:hAnsi="Helvetica" w:cs="Helvetica"/>
          <w:color w:val="333333"/>
          <w:sz w:val="24"/>
          <w:szCs w:val="24"/>
          <w:lang w:val="uk-UA" w:eastAsia="ru-UA"/>
        </w:rPr>
        <w:t>, що юридичні особи повинні оновити інформацію про КБВ </w:t>
      </w:r>
      <w:r w:rsidRPr="00EE26C0">
        <w:rPr>
          <w:rFonts w:ascii="inherit" w:eastAsia="Times New Roman" w:hAnsi="inherit" w:cs="Helvetica"/>
          <w:i/>
          <w:iCs/>
          <w:color w:val="333333"/>
          <w:sz w:val="24"/>
          <w:szCs w:val="24"/>
          <w:bdr w:val="none" w:sz="0" w:space="0" w:color="auto" w:frame="1"/>
          <w:lang w:val="uk-UA" w:eastAsia="ru-UA"/>
        </w:rPr>
        <w:t>протягом трьох місяців</w:t>
      </w:r>
      <w:r w:rsidRPr="00EE26C0">
        <w:rPr>
          <w:rFonts w:ascii="Helvetica" w:eastAsia="Times New Roman" w:hAnsi="Helvetica" w:cs="Helvetica"/>
          <w:color w:val="333333"/>
          <w:sz w:val="24"/>
          <w:szCs w:val="24"/>
          <w:lang w:val="uk-UA" w:eastAsia="ru-UA"/>
        </w:rPr>
        <w:t> з дня набрання чинності нормативно-правовим актом, яким затверджується форма та зміст структури власності.</w:t>
      </w:r>
    </w:p>
    <w:p w14:paraId="79A548D2"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Положення про форму та зміст структури власності затверджене наказом Міністерства фінансів України від 19 березня 2021 року № 163, зареєстроване в Міністерстві юстиції України 08 червня 2021 року за № 768/36390 та набрало чинності 11 липня 2021 року.</w:t>
      </w:r>
    </w:p>
    <w:p w14:paraId="54E78A03"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Враховуючи вищезазначене, відлік строку оновлення інформації про КБВ у Єдиному державному реєстрі юридичних осіб, фізичних осіб – підприємців та громадських формувань (далі – Єдиний державний реєстр) на виконання пункту 4 розділу X “Прикінцеві та перехідні положення” Закону № 361-IX розпочався з 11 липня 2021 року та мав завершитися 11 жовтня 2021 року.</w:t>
      </w:r>
    </w:p>
    <w:p w14:paraId="51A67A51"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 xml:space="preserve">Проте 8 жовтня 2021 року Верховною Радою України прийнято Закон України № 1805-ІХ “Про внесення зміни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яким </w:t>
      </w:r>
      <w:proofErr w:type="spellStart"/>
      <w:r w:rsidRPr="00EE26C0">
        <w:rPr>
          <w:rFonts w:ascii="Helvetica" w:eastAsia="Times New Roman" w:hAnsi="Helvetica" w:cs="Helvetica"/>
          <w:color w:val="333333"/>
          <w:sz w:val="24"/>
          <w:szCs w:val="24"/>
          <w:lang w:val="uk-UA" w:eastAsia="ru-UA"/>
        </w:rPr>
        <w:t>внесено</w:t>
      </w:r>
      <w:proofErr w:type="spellEnd"/>
      <w:r w:rsidRPr="00EE26C0">
        <w:rPr>
          <w:rFonts w:ascii="Helvetica" w:eastAsia="Times New Roman" w:hAnsi="Helvetica" w:cs="Helvetica"/>
          <w:color w:val="333333"/>
          <w:sz w:val="24"/>
          <w:szCs w:val="24"/>
          <w:lang w:val="uk-UA" w:eastAsia="ru-UA"/>
        </w:rPr>
        <w:t xml:space="preserve"> зміни до пункту 4 розділу X “Прикінцеві та перехідні положення” Закону № 361-IX в частині продовження строку для оновлення відомостей про КБВ у Єдиному державному реєстрі з трьох місяців </w:t>
      </w:r>
      <w:r w:rsidRPr="00EE26C0">
        <w:rPr>
          <w:rFonts w:ascii="inherit" w:eastAsia="Times New Roman" w:hAnsi="inherit" w:cs="Helvetica"/>
          <w:i/>
          <w:iCs/>
          <w:color w:val="333333"/>
          <w:sz w:val="24"/>
          <w:szCs w:val="24"/>
          <w:bdr w:val="none" w:sz="0" w:space="0" w:color="auto" w:frame="1"/>
          <w:lang w:val="uk-UA" w:eastAsia="ru-UA"/>
        </w:rPr>
        <w:t>до одного року</w:t>
      </w:r>
      <w:r w:rsidRPr="00EE26C0">
        <w:rPr>
          <w:rFonts w:ascii="Helvetica" w:eastAsia="Times New Roman" w:hAnsi="Helvetica" w:cs="Helvetica"/>
          <w:color w:val="333333"/>
          <w:sz w:val="24"/>
          <w:szCs w:val="24"/>
          <w:lang w:val="uk-UA" w:eastAsia="ru-UA"/>
        </w:rPr>
        <w:t>. Відповідно, строк для оновлення зазначених відомостей продовжено </w:t>
      </w:r>
      <w:r w:rsidRPr="00EE26C0">
        <w:rPr>
          <w:rFonts w:ascii="inherit" w:eastAsia="Times New Roman" w:hAnsi="inherit" w:cs="Helvetica"/>
          <w:i/>
          <w:iCs/>
          <w:color w:val="333333"/>
          <w:sz w:val="24"/>
          <w:szCs w:val="24"/>
          <w:bdr w:val="none" w:sz="0" w:space="0" w:color="auto" w:frame="1"/>
          <w:lang w:val="uk-UA" w:eastAsia="ru-UA"/>
        </w:rPr>
        <w:t>до 11 липня 2022 року (включно)</w:t>
      </w:r>
      <w:r w:rsidRPr="00EE26C0">
        <w:rPr>
          <w:rFonts w:ascii="Helvetica" w:eastAsia="Times New Roman" w:hAnsi="Helvetica" w:cs="Helvetica"/>
          <w:color w:val="333333"/>
          <w:sz w:val="24"/>
          <w:szCs w:val="24"/>
          <w:lang w:val="uk-UA" w:eastAsia="ru-UA"/>
        </w:rPr>
        <w:t>.</w:t>
      </w:r>
    </w:p>
    <w:p w14:paraId="7AAF5E79"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inherit" w:eastAsia="Times New Roman" w:hAnsi="inherit" w:cs="Helvetica"/>
          <w:i/>
          <w:iCs/>
          <w:color w:val="333333"/>
          <w:sz w:val="24"/>
          <w:szCs w:val="24"/>
          <w:bdr w:val="none" w:sz="0" w:space="0" w:color="auto" w:frame="1"/>
          <w:lang w:val="uk-UA" w:eastAsia="ru-UA"/>
        </w:rPr>
        <w:lastRenderedPageBreak/>
        <w:t>Аналіз зазначених положень законодавства дає підстави для висновку, що зобов’язання щодо оновлення відомостей про КБВ залишилося незмінним, лише продовжено строк його виконання</w:t>
      </w:r>
      <w:r w:rsidRPr="00EE26C0">
        <w:rPr>
          <w:rFonts w:ascii="Helvetica" w:eastAsia="Times New Roman" w:hAnsi="Helvetica" w:cs="Helvetica"/>
          <w:color w:val="333333"/>
          <w:sz w:val="24"/>
          <w:szCs w:val="24"/>
          <w:lang w:val="uk-UA" w:eastAsia="ru-UA"/>
        </w:rPr>
        <w:t> з метою розвантаження суб’єктів господарювання та державних реєстраторів.</w:t>
      </w:r>
    </w:p>
    <w:p w14:paraId="34C83B1F"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Разом з тим, зобов’язання стосовно </w:t>
      </w:r>
      <w:r w:rsidRPr="00EE26C0">
        <w:rPr>
          <w:rFonts w:ascii="inherit" w:eastAsia="Times New Roman" w:hAnsi="inherit" w:cs="Helvetica"/>
          <w:i/>
          <w:iCs/>
          <w:color w:val="333333"/>
          <w:sz w:val="24"/>
          <w:szCs w:val="24"/>
          <w:bdr w:val="none" w:sz="0" w:space="0" w:color="auto" w:frame="1"/>
          <w:lang w:val="uk-UA" w:eastAsia="ru-UA"/>
        </w:rPr>
        <w:t>щорічного підтвердження відомостей про КБВ</w:t>
      </w:r>
      <w:r w:rsidRPr="00EE26C0">
        <w:rPr>
          <w:rFonts w:ascii="Helvetica" w:eastAsia="Times New Roman" w:hAnsi="Helvetica" w:cs="Helvetica"/>
          <w:color w:val="333333"/>
          <w:sz w:val="24"/>
          <w:szCs w:val="24"/>
          <w:lang w:val="uk-UA" w:eastAsia="ru-UA"/>
        </w:rPr>
        <w:t> встановлено статтею 17</w:t>
      </w:r>
      <w:r w:rsidRPr="00EE26C0">
        <w:rPr>
          <w:rFonts w:ascii="inherit" w:eastAsia="Times New Roman" w:hAnsi="inherit" w:cs="Helvetica"/>
          <w:color w:val="333333"/>
          <w:sz w:val="15"/>
          <w:szCs w:val="15"/>
          <w:bdr w:val="none" w:sz="0" w:space="0" w:color="auto" w:frame="1"/>
          <w:vertAlign w:val="superscript"/>
          <w:lang w:val="uk-UA" w:eastAsia="ru-UA"/>
        </w:rPr>
        <w:t>1</w:t>
      </w:r>
      <w:r w:rsidRPr="00EE26C0">
        <w:rPr>
          <w:rFonts w:ascii="Helvetica" w:eastAsia="Times New Roman" w:hAnsi="Helvetica" w:cs="Helvetica"/>
          <w:color w:val="333333"/>
          <w:sz w:val="24"/>
          <w:szCs w:val="24"/>
          <w:lang w:val="uk-UA" w:eastAsia="ru-UA"/>
        </w:rPr>
        <w:t> Закону про реєстрацію, якою вказаний Закон доповнено Законом № 361-IX.</w:t>
      </w:r>
    </w:p>
    <w:p w14:paraId="0090F526"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При цьому варто звернути увагу, що побудова Закону № 361-IX є логічно-послідовною. Так, є норми, які першочергово зобов’язують оновити відомості про КБВ у Єдиному державному реєстрі (пункту 4 розділу X “Прикінцеві та перехідні положення”), а вже потім виникає необхідність щорічно підтверджувати відповідну інформацію.</w:t>
      </w:r>
    </w:p>
    <w:p w14:paraId="541960F6"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Враховуючи зазначене, слід зробити висновок, що </w:t>
      </w:r>
      <w:r w:rsidRPr="00EE26C0">
        <w:rPr>
          <w:rFonts w:ascii="inherit" w:eastAsia="Times New Roman" w:hAnsi="inherit" w:cs="Helvetica"/>
          <w:i/>
          <w:iCs/>
          <w:color w:val="333333"/>
          <w:sz w:val="24"/>
          <w:szCs w:val="24"/>
          <w:bdr w:val="none" w:sz="0" w:space="0" w:color="auto" w:frame="1"/>
          <w:lang w:val="uk-UA" w:eastAsia="ru-UA"/>
        </w:rPr>
        <w:t>процес щорічного підтвердження відомостей про КБВ</w:t>
      </w:r>
      <w:r w:rsidRPr="00EE26C0">
        <w:rPr>
          <w:rFonts w:ascii="Helvetica" w:eastAsia="Times New Roman" w:hAnsi="Helvetica" w:cs="Helvetica"/>
          <w:color w:val="333333"/>
          <w:sz w:val="24"/>
          <w:szCs w:val="24"/>
          <w:lang w:val="uk-UA" w:eastAsia="ru-UA"/>
        </w:rPr>
        <w:t> відповідно до положень статті 17</w:t>
      </w:r>
      <w:r w:rsidRPr="00EE26C0">
        <w:rPr>
          <w:rFonts w:ascii="inherit" w:eastAsia="Times New Roman" w:hAnsi="inherit" w:cs="Helvetica"/>
          <w:color w:val="333333"/>
          <w:sz w:val="15"/>
          <w:szCs w:val="15"/>
          <w:bdr w:val="none" w:sz="0" w:space="0" w:color="auto" w:frame="1"/>
          <w:vertAlign w:val="superscript"/>
          <w:lang w:val="uk-UA" w:eastAsia="ru-UA"/>
        </w:rPr>
        <w:t>1</w:t>
      </w:r>
      <w:r w:rsidRPr="00EE26C0">
        <w:rPr>
          <w:rFonts w:ascii="Helvetica" w:eastAsia="Times New Roman" w:hAnsi="Helvetica" w:cs="Helvetica"/>
          <w:color w:val="333333"/>
          <w:sz w:val="24"/>
          <w:szCs w:val="24"/>
          <w:lang w:val="uk-UA" w:eastAsia="ru-UA"/>
        </w:rPr>
        <w:t> Закону про реєстрацію </w:t>
      </w:r>
      <w:r w:rsidRPr="00EE26C0">
        <w:rPr>
          <w:rFonts w:ascii="inherit" w:eastAsia="Times New Roman" w:hAnsi="inherit" w:cs="Helvetica"/>
          <w:i/>
          <w:iCs/>
          <w:color w:val="333333"/>
          <w:sz w:val="24"/>
          <w:szCs w:val="24"/>
          <w:bdr w:val="none" w:sz="0" w:space="0" w:color="auto" w:frame="1"/>
          <w:lang w:val="uk-UA" w:eastAsia="ru-UA"/>
        </w:rPr>
        <w:t>має розпочатися з 2023 року</w:t>
      </w:r>
      <w:r w:rsidRPr="00EE26C0">
        <w:rPr>
          <w:rFonts w:ascii="Helvetica" w:eastAsia="Times New Roman" w:hAnsi="Helvetica" w:cs="Helvetica"/>
          <w:color w:val="333333"/>
          <w:sz w:val="24"/>
          <w:szCs w:val="24"/>
          <w:lang w:val="uk-UA" w:eastAsia="ru-UA"/>
        </w:rPr>
        <w:t>, після завершення процедури оновлення зазначених відомостей, </w:t>
      </w:r>
      <w:r w:rsidRPr="00EE26C0">
        <w:rPr>
          <w:rFonts w:ascii="inherit" w:eastAsia="Times New Roman" w:hAnsi="inherit" w:cs="Helvetica"/>
          <w:i/>
          <w:iCs/>
          <w:color w:val="333333"/>
          <w:sz w:val="24"/>
          <w:szCs w:val="24"/>
          <w:bdr w:val="none" w:sz="0" w:space="0" w:color="auto" w:frame="1"/>
          <w:lang w:val="uk-UA" w:eastAsia="ru-UA"/>
        </w:rPr>
        <w:t>незалежно від того, чи оновлення відбулося у 2021 році, чи у 2022 році</w:t>
      </w:r>
      <w:r w:rsidRPr="00EE26C0">
        <w:rPr>
          <w:rFonts w:ascii="Helvetica" w:eastAsia="Times New Roman" w:hAnsi="Helvetica" w:cs="Helvetica"/>
          <w:color w:val="333333"/>
          <w:sz w:val="24"/>
          <w:szCs w:val="24"/>
          <w:lang w:val="uk-UA" w:eastAsia="ru-UA"/>
        </w:rPr>
        <w:t>.</w:t>
      </w:r>
    </w:p>
    <w:p w14:paraId="6CA99302"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Водночас варто зауважити, що частиною четвертою статті 35 Закону про реєстрацію визначено, що особи, винні у внесенні до установчих документів або інших документів, що подаються для державної реєстрації, завідомо неправдивих відомостей, що підлягають внесенню до Єдиного державного реєстру, а також у неподанні або несвоєчасному поданні державному реєстратору передбаченої цим Законом інформації про КБВ юридичної особи або його відсутність, несуть відповідальність, встановлену законом.</w:t>
      </w:r>
    </w:p>
    <w:p w14:paraId="4079B0A2"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Згідно з частиною шостою статті 166</w:t>
      </w:r>
      <w:r w:rsidRPr="00EE26C0">
        <w:rPr>
          <w:rFonts w:ascii="inherit" w:eastAsia="Times New Roman" w:hAnsi="inherit" w:cs="Helvetica"/>
          <w:color w:val="333333"/>
          <w:sz w:val="15"/>
          <w:szCs w:val="15"/>
          <w:bdr w:val="none" w:sz="0" w:space="0" w:color="auto" w:frame="1"/>
          <w:vertAlign w:val="superscript"/>
          <w:lang w:val="uk-UA" w:eastAsia="ru-UA"/>
        </w:rPr>
        <w:t>11</w:t>
      </w:r>
      <w:r w:rsidRPr="00EE26C0">
        <w:rPr>
          <w:rFonts w:ascii="Helvetica" w:eastAsia="Times New Roman" w:hAnsi="Helvetica" w:cs="Helvetica"/>
          <w:color w:val="333333"/>
          <w:sz w:val="24"/>
          <w:szCs w:val="24"/>
          <w:lang w:val="uk-UA" w:eastAsia="ru-UA"/>
        </w:rPr>
        <w:t> Кодексу України про адміністративні правопорушення (далі – КУАП) відповідальність за неподання або несвоєчасне подання державному реєстратору передбаченої Законом про реєстрацію інформації про КБВ юридичної особи або про його відсутність, або документів для підтвердження відомостей про КБВ юридичної особи покладено на керівника юридичної особи або особу, уповноважену діяти від імені юридичної особи (виконавчого органу), та тягне за собою накладення штрафу від однієї тисячі до трьох тисяч неоподатковуваних мінімумів доходів громадян.</w:t>
      </w:r>
    </w:p>
    <w:p w14:paraId="177A08E7"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Згідно зі статтею 255 КУАП </w:t>
      </w:r>
      <w:r w:rsidRPr="00EE26C0">
        <w:rPr>
          <w:rFonts w:ascii="inherit" w:eastAsia="Times New Roman" w:hAnsi="inherit" w:cs="Helvetica"/>
          <w:i/>
          <w:iCs/>
          <w:color w:val="333333"/>
          <w:sz w:val="24"/>
          <w:szCs w:val="24"/>
          <w:bdr w:val="none" w:sz="0" w:space="0" w:color="auto" w:frame="1"/>
          <w:lang w:val="uk-UA" w:eastAsia="ru-UA"/>
        </w:rPr>
        <w:t>посадові особи центрального органу виконавчої влади</w:t>
      </w:r>
      <w:r w:rsidRPr="00EE26C0">
        <w:rPr>
          <w:rFonts w:ascii="Helvetica" w:eastAsia="Times New Roman" w:hAnsi="Helvetica" w:cs="Helvetica"/>
          <w:color w:val="333333"/>
          <w:sz w:val="24"/>
          <w:szCs w:val="24"/>
          <w:lang w:val="uk-UA" w:eastAsia="ru-UA"/>
        </w:rPr>
        <w:t>, що реалізує державну політику у сфері державної реєстрації юридичних осіб, громадських формувань, що не мають статусу юридичної особи, та фізичних осіб – підприємців, мають право складати протоколи про правопорушення згідно зі статтею 166</w:t>
      </w:r>
      <w:r w:rsidRPr="00EE26C0">
        <w:rPr>
          <w:rFonts w:ascii="inherit" w:eastAsia="Times New Roman" w:hAnsi="inherit" w:cs="Helvetica"/>
          <w:color w:val="333333"/>
          <w:sz w:val="15"/>
          <w:szCs w:val="15"/>
          <w:bdr w:val="none" w:sz="0" w:space="0" w:color="auto" w:frame="1"/>
          <w:vertAlign w:val="superscript"/>
          <w:lang w:val="uk-UA" w:eastAsia="ru-UA"/>
        </w:rPr>
        <w:t>11</w:t>
      </w:r>
      <w:r w:rsidRPr="00EE26C0">
        <w:rPr>
          <w:rFonts w:ascii="Helvetica" w:eastAsia="Times New Roman" w:hAnsi="Helvetica" w:cs="Helvetica"/>
          <w:color w:val="333333"/>
          <w:sz w:val="24"/>
          <w:szCs w:val="24"/>
          <w:lang w:val="uk-UA" w:eastAsia="ru-UA"/>
        </w:rPr>
        <w:t> КУАП.</w:t>
      </w:r>
    </w:p>
    <w:p w14:paraId="3FB4356C"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Відповідно до пункту 4.62 Положення про міжрегіональні управління Міністерства юстиції України, затвердженого наказом Міністерства юстиції України від 23 червня 2011 року № 1707/5, зареєстрованого в Міністерстві юстиції України 23 червня 2011 року за № 759/19497 (зі змінами), </w:t>
      </w:r>
      <w:r w:rsidRPr="00EE26C0">
        <w:rPr>
          <w:rFonts w:ascii="inherit" w:eastAsia="Times New Roman" w:hAnsi="inherit" w:cs="Helvetica"/>
          <w:i/>
          <w:iCs/>
          <w:color w:val="333333"/>
          <w:sz w:val="24"/>
          <w:szCs w:val="24"/>
          <w:bdr w:val="none" w:sz="0" w:space="0" w:color="auto" w:frame="1"/>
          <w:lang w:val="uk-UA" w:eastAsia="ru-UA"/>
        </w:rPr>
        <w:t>Міжрегіональне управління юстиції відповідно до покладених на нього завдань складає протоколи про адміністративні правопорушення у випадках, передбачених КУАП</w:t>
      </w:r>
      <w:r w:rsidRPr="00EE26C0">
        <w:rPr>
          <w:rFonts w:ascii="Helvetica" w:eastAsia="Times New Roman" w:hAnsi="Helvetica" w:cs="Helvetica"/>
          <w:color w:val="333333"/>
          <w:sz w:val="24"/>
          <w:szCs w:val="24"/>
          <w:lang w:val="uk-UA" w:eastAsia="ru-UA"/>
        </w:rPr>
        <w:t>.</w:t>
      </w:r>
    </w:p>
    <w:p w14:paraId="7F725037"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Порядок складання таких протоколів визначено Інструкцією з оформлення матеріалів про адміністративні правопорушення у сфері державної реєстрації, затвердженою наказом Міністерства юстиції України від 12 серпня 2016 року № 2473/5, зареєстрованою у Міністерстві юстиції України 12 серпня 2016 року за № 1127/29257.</w:t>
      </w:r>
    </w:p>
    <w:p w14:paraId="5F7C41F8"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 xml:space="preserve">Так, з урахуванням вищезазначеного, а також позиції Міністерства юстиції України, викладеної у листі від 12 січня 2022 року № 3738/32-22, щодо початку відліку </w:t>
      </w:r>
      <w:r w:rsidRPr="00EE26C0">
        <w:rPr>
          <w:rFonts w:ascii="Helvetica" w:eastAsia="Times New Roman" w:hAnsi="Helvetica" w:cs="Helvetica"/>
          <w:color w:val="333333"/>
          <w:sz w:val="24"/>
          <w:szCs w:val="24"/>
          <w:lang w:val="uk-UA" w:eastAsia="ru-UA"/>
        </w:rPr>
        <w:lastRenderedPageBreak/>
        <w:t>строку для щорічного підтвердження відомостей про КБВ </w:t>
      </w:r>
      <w:r w:rsidRPr="00EE26C0">
        <w:rPr>
          <w:rFonts w:ascii="inherit" w:eastAsia="Times New Roman" w:hAnsi="inherit" w:cs="Helvetica"/>
          <w:b/>
          <w:bCs/>
          <w:color w:val="333333"/>
          <w:sz w:val="24"/>
          <w:szCs w:val="24"/>
          <w:bdr w:val="none" w:sz="0" w:space="0" w:color="auto" w:frame="1"/>
          <w:lang w:val="uk-UA" w:eastAsia="ru-UA"/>
        </w:rPr>
        <w:t>з 2023 року</w:t>
      </w:r>
      <w:r w:rsidRPr="00EE26C0">
        <w:rPr>
          <w:rFonts w:ascii="Helvetica" w:eastAsia="Times New Roman" w:hAnsi="Helvetica" w:cs="Helvetica"/>
          <w:color w:val="333333"/>
          <w:sz w:val="24"/>
          <w:szCs w:val="24"/>
          <w:lang w:val="uk-UA" w:eastAsia="ru-UA"/>
        </w:rPr>
        <w:t>, </w:t>
      </w:r>
      <w:r w:rsidRPr="00EE26C0">
        <w:rPr>
          <w:rFonts w:ascii="inherit" w:eastAsia="Times New Roman" w:hAnsi="inherit" w:cs="Helvetica"/>
          <w:i/>
          <w:iCs/>
          <w:color w:val="333333"/>
          <w:sz w:val="24"/>
          <w:szCs w:val="24"/>
          <w:bdr w:val="none" w:sz="0" w:space="0" w:color="auto" w:frame="1"/>
          <w:lang w:val="uk-UA" w:eastAsia="ru-UA"/>
        </w:rPr>
        <w:t>підстави для складання протоколу про адміністративне правопорушення за неподання або несвоєчасне подання державному реєстратору передбаченої Законом про реєстрацію інформації про КБВ юридичної особи або про його відсутність у випадку порушення строку для щорічного підтвердження таких відомостей відповідно до положень статті 17</w:t>
      </w:r>
      <w:r w:rsidRPr="00EE26C0">
        <w:rPr>
          <w:rFonts w:ascii="inherit" w:eastAsia="Times New Roman" w:hAnsi="inherit" w:cs="Helvetica"/>
          <w:i/>
          <w:iCs/>
          <w:color w:val="333333"/>
          <w:sz w:val="15"/>
          <w:szCs w:val="15"/>
          <w:bdr w:val="none" w:sz="0" w:space="0" w:color="auto" w:frame="1"/>
          <w:vertAlign w:val="superscript"/>
          <w:lang w:val="uk-UA" w:eastAsia="ru-UA"/>
        </w:rPr>
        <w:t>1</w:t>
      </w:r>
      <w:r w:rsidRPr="00EE26C0">
        <w:rPr>
          <w:rFonts w:ascii="inherit" w:eastAsia="Times New Roman" w:hAnsi="inherit" w:cs="Helvetica"/>
          <w:i/>
          <w:iCs/>
          <w:color w:val="333333"/>
          <w:sz w:val="24"/>
          <w:szCs w:val="24"/>
          <w:bdr w:val="none" w:sz="0" w:space="0" w:color="auto" w:frame="1"/>
          <w:lang w:val="uk-UA" w:eastAsia="ru-UA"/>
        </w:rPr>
        <w:t> Закону про реєстрацію виникнуть лише у 2023 році. Відповідно у 2022 році протоколи про адміністративні правопорушення з вказаних підстав Мін ’</w:t>
      </w:r>
      <w:proofErr w:type="spellStart"/>
      <w:r w:rsidRPr="00EE26C0">
        <w:rPr>
          <w:rFonts w:ascii="inherit" w:eastAsia="Times New Roman" w:hAnsi="inherit" w:cs="Helvetica"/>
          <w:i/>
          <w:iCs/>
          <w:color w:val="333333"/>
          <w:sz w:val="24"/>
          <w:szCs w:val="24"/>
          <w:bdr w:val="none" w:sz="0" w:space="0" w:color="auto" w:frame="1"/>
          <w:lang w:val="uk-UA" w:eastAsia="ru-UA"/>
        </w:rPr>
        <w:t>юстом</w:t>
      </w:r>
      <w:proofErr w:type="spellEnd"/>
      <w:r w:rsidRPr="00EE26C0">
        <w:rPr>
          <w:rFonts w:ascii="inherit" w:eastAsia="Times New Roman" w:hAnsi="inherit" w:cs="Helvetica"/>
          <w:i/>
          <w:iCs/>
          <w:color w:val="333333"/>
          <w:sz w:val="24"/>
          <w:szCs w:val="24"/>
          <w:bdr w:val="none" w:sz="0" w:space="0" w:color="auto" w:frame="1"/>
          <w:lang w:val="uk-UA" w:eastAsia="ru-UA"/>
        </w:rPr>
        <w:t xml:space="preserve"> та його територіальними органами складатися не будуть</w:t>
      </w:r>
      <w:r w:rsidRPr="00EE26C0">
        <w:rPr>
          <w:rFonts w:ascii="Helvetica" w:eastAsia="Times New Roman" w:hAnsi="Helvetica" w:cs="Helvetica"/>
          <w:color w:val="333333"/>
          <w:sz w:val="24"/>
          <w:szCs w:val="24"/>
          <w:lang w:val="uk-UA" w:eastAsia="ru-UA"/>
        </w:rPr>
        <w:t>.</w:t>
      </w:r>
    </w:p>
    <w:p w14:paraId="3CFBA7D4"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Також, вважаємо за необхідне поінформувати, що на сьогодні у Верховній Раді України зареєстровано низку законопроектів, які передбачають зміну переліку суб’єктів господарювання, щодо яких до Єдиного державного реєстру вносяться відомості про КБВ та подається структура власності, а також </w:t>
      </w:r>
      <w:r w:rsidRPr="00EE26C0">
        <w:rPr>
          <w:rFonts w:ascii="inherit" w:eastAsia="Times New Roman" w:hAnsi="inherit" w:cs="Helvetica"/>
          <w:i/>
          <w:iCs/>
          <w:color w:val="333333"/>
          <w:sz w:val="24"/>
          <w:szCs w:val="24"/>
          <w:bdr w:val="none" w:sz="0" w:space="0" w:color="auto" w:frame="1"/>
          <w:lang w:val="uk-UA" w:eastAsia="ru-UA"/>
        </w:rPr>
        <w:t>підходу стосовно щорічного підтвердження відомостей про КБВ</w:t>
      </w:r>
      <w:r w:rsidRPr="00EE26C0">
        <w:rPr>
          <w:rFonts w:ascii="Helvetica" w:eastAsia="Times New Roman" w:hAnsi="Helvetica" w:cs="Helvetica"/>
          <w:color w:val="333333"/>
          <w:sz w:val="24"/>
          <w:szCs w:val="24"/>
          <w:lang w:val="uk-UA" w:eastAsia="ru-UA"/>
        </w:rPr>
        <w:t xml:space="preserve">, зокрема, проекти законів України “Про внесення змін до Закону України “Про державну реєстрацію юридичних осіб, фізичних осіб – підприємців та громадських формувань” щодо подання відомостей про кінцевого </w:t>
      </w:r>
      <w:proofErr w:type="spellStart"/>
      <w:r w:rsidRPr="00EE26C0">
        <w:rPr>
          <w:rFonts w:ascii="Helvetica" w:eastAsia="Times New Roman" w:hAnsi="Helvetica" w:cs="Helvetica"/>
          <w:color w:val="333333"/>
          <w:sz w:val="24"/>
          <w:szCs w:val="24"/>
          <w:lang w:val="uk-UA" w:eastAsia="ru-UA"/>
        </w:rPr>
        <w:t>бенефіціарного</w:t>
      </w:r>
      <w:proofErr w:type="spellEnd"/>
      <w:r w:rsidRPr="00EE26C0">
        <w:rPr>
          <w:rFonts w:ascii="Helvetica" w:eastAsia="Times New Roman" w:hAnsi="Helvetica" w:cs="Helvetica"/>
          <w:color w:val="333333"/>
          <w:sz w:val="24"/>
          <w:szCs w:val="24"/>
          <w:lang w:val="uk-UA" w:eastAsia="ru-UA"/>
        </w:rPr>
        <w:t xml:space="preserve"> власника юридичної особи” (реєстр. № 6131 від 05 жовтня 2021 року); “Про внесення змін до Закону України “Про державну реєстрацію юридичних осіб, фізичних осіб – підприємців та громадських формувань” щодо розширення переліку юридичних осіб, які не надають відомості про кінцевого </w:t>
      </w:r>
      <w:proofErr w:type="spellStart"/>
      <w:r w:rsidRPr="00EE26C0">
        <w:rPr>
          <w:rFonts w:ascii="Helvetica" w:eastAsia="Times New Roman" w:hAnsi="Helvetica" w:cs="Helvetica"/>
          <w:color w:val="333333"/>
          <w:sz w:val="24"/>
          <w:szCs w:val="24"/>
          <w:lang w:val="uk-UA" w:eastAsia="ru-UA"/>
        </w:rPr>
        <w:t>бенефіціарного</w:t>
      </w:r>
      <w:proofErr w:type="spellEnd"/>
      <w:r w:rsidRPr="00EE26C0">
        <w:rPr>
          <w:rFonts w:ascii="Helvetica" w:eastAsia="Times New Roman" w:hAnsi="Helvetica" w:cs="Helvetica"/>
          <w:color w:val="333333"/>
          <w:sz w:val="24"/>
          <w:szCs w:val="24"/>
          <w:lang w:val="uk-UA" w:eastAsia="ru-UA"/>
        </w:rPr>
        <w:t xml:space="preserve"> власника” (реєстр. № 6131-1 від 05 жовтня 2021 року); “Про внесення змін до Закону України “Про державну реєстрацію юридичних осіб, фізичних осіб – підприємців та громадських формувань” щодо вдосконалення інституту зазначення відомостей про кінцевого </w:t>
      </w:r>
      <w:proofErr w:type="spellStart"/>
      <w:r w:rsidRPr="00EE26C0">
        <w:rPr>
          <w:rFonts w:ascii="Helvetica" w:eastAsia="Times New Roman" w:hAnsi="Helvetica" w:cs="Helvetica"/>
          <w:color w:val="333333"/>
          <w:sz w:val="24"/>
          <w:szCs w:val="24"/>
          <w:lang w:val="uk-UA" w:eastAsia="ru-UA"/>
        </w:rPr>
        <w:t>бенефіціарного</w:t>
      </w:r>
      <w:proofErr w:type="spellEnd"/>
      <w:r w:rsidRPr="00EE26C0">
        <w:rPr>
          <w:rFonts w:ascii="Helvetica" w:eastAsia="Times New Roman" w:hAnsi="Helvetica" w:cs="Helvetica"/>
          <w:color w:val="333333"/>
          <w:sz w:val="24"/>
          <w:szCs w:val="24"/>
          <w:lang w:val="uk-UA" w:eastAsia="ru-UA"/>
        </w:rPr>
        <w:t xml:space="preserve"> власника та структуру власності юридичної особи” (реєстр. № 6131-2 від 19 жовтня 2021 року); “Про внесення змін до деяких законів України щодо спрощення порядку подання інформації, необхідної для проведення фінансового моніторингу” (реєстр. № 6320 від 18 листопада 2021 року).</w:t>
      </w:r>
    </w:p>
    <w:p w14:paraId="1D62369A"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Враховуючи вищезазначене, інформуємо про необхідність стежити за подальшою долею вищезазначених проектів.</w:t>
      </w:r>
    </w:p>
    <w:p w14:paraId="5BD56977" w14:textId="77777777" w:rsidR="00EE26C0" w:rsidRPr="00EE26C0" w:rsidRDefault="00EE26C0" w:rsidP="00EE26C0">
      <w:pPr>
        <w:shd w:val="clear" w:color="auto" w:fill="FFFFFF"/>
        <w:spacing w:after="300" w:line="240" w:lineRule="auto"/>
        <w:textAlignment w:val="baseline"/>
        <w:rPr>
          <w:rFonts w:ascii="Helvetica" w:eastAsia="Times New Roman" w:hAnsi="Helvetica" w:cs="Helvetica"/>
          <w:color w:val="333333"/>
          <w:sz w:val="24"/>
          <w:szCs w:val="24"/>
          <w:lang w:val="uk-UA" w:eastAsia="ru-UA"/>
        </w:rPr>
      </w:pPr>
      <w:r w:rsidRPr="00EE26C0">
        <w:rPr>
          <w:rFonts w:ascii="Helvetica" w:eastAsia="Times New Roman" w:hAnsi="Helvetica" w:cs="Helvetica"/>
          <w:color w:val="333333"/>
          <w:sz w:val="24"/>
          <w:szCs w:val="24"/>
          <w:lang w:val="uk-UA" w:eastAsia="ru-UA"/>
        </w:rPr>
        <w:t xml:space="preserve">Водночас у разі внесення відповідних змін до законодавства Мін’юст </w:t>
      </w:r>
      <w:proofErr w:type="spellStart"/>
      <w:r w:rsidRPr="00EE26C0">
        <w:rPr>
          <w:rFonts w:ascii="Helvetica" w:eastAsia="Times New Roman" w:hAnsi="Helvetica" w:cs="Helvetica"/>
          <w:color w:val="333333"/>
          <w:sz w:val="24"/>
          <w:szCs w:val="24"/>
          <w:lang w:val="uk-UA" w:eastAsia="ru-UA"/>
        </w:rPr>
        <w:t>надасть</w:t>
      </w:r>
      <w:proofErr w:type="spellEnd"/>
      <w:r w:rsidRPr="00EE26C0">
        <w:rPr>
          <w:rFonts w:ascii="Helvetica" w:eastAsia="Times New Roman" w:hAnsi="Helvetica" w:cs="Helvetica"/>
          <w:color w:val="333333"/>
          <w:sz w:val="24"/>
          <w:szCs w:val="24"/>
          <w:lang w:val="uk-UA" w:eastAsia="ru-UA"/>
        </w:rPr>
        <w:t xml:space="preserve"> додаткове роз’яснення з цього питання, яке буде оприлюднено на офіційному </w:t>
      </w:r>
      <w:proofErr w:type="spellStart"/>
      <w:r w:rsidRPr="00EE26C0">
        <w:rPr>
          <w:rFonts w:ascii="Helvetica" w:eastAsia="Times New Roman" w:hAnsi="Helvetica" w:cs="Helvetica"/>
          <w:color w:val="333333"/>
          <w:sz w:val="24"/>
          <w:szCs w:val="24"/>
          <w:lang w:val="uk-UA" w:eastAsia="ru-UA"/>
        </w:rPr>
        <w:t>вебсайті</w:t>
      </w:r>
      <w:proofErr w:type="spellEnd"/>
      <w:r w:rsidRPr="00EE26C0">
        <w:rPr>
          <w:rFonts w:ascii="Helvetica" w:eastAsia="Times New Roman" w:hAnsi="Helvetica" w:cs="Helvetica"/>
          <w:color w:val="333333"/>
          <w:sz w:val="24"/>
          <w:szCs w:val="24"/>
          <w:lang w:val="uk-UA" w:eastAsia="ru-UA"/>
        </w:rPr>
        <w:t xml:space="preserve"> Міністерства.</w:t>
      </w:r>
    </w:p>
    <w:p w14:paraId="253BEAED"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inherit" w:eastAsia="Times New Roman" w:hAnsi="inherit" w:cs="Helvetica"/>
          <w:i/>
          <w:iCs/>
          <w:color w:val="333333"/>
          <w:sz w:val="24"/>
          <w:szCs w:val="24"/>
          <w:bdr w:val="none" w:sz="0" w:space="0" w:color="auto" w:frame="1"/>
          <w:lang w:val="uk-UA" w:eastAsia="ru-UA"/>
        </w:rPr>
        <w:t>Важливі юридичні застереження!</w:t>
      </w:r>
    </w:p>
    <w:p w14:paraId="06B040C5"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inherit" w:eastAsia="Times New Roman" w:hAnsi="inherit" w:cs="Helvetica"/>
          <w:i/>
          <w:iCs/>
          <w:color w:val="333333"/>
          <w:sz w:val="24"/>
          <w:szCs w:val="24"/>
          <w:bdr w:val="none" w:sz="0" w:space="0" w:color="auto" w:frame="1"/>
          <w:lang w:val="uk-UA" w:eastAsia="ru-UA"/>
        </w:rPr>
        <w:t>1. Листи Міністерства юстиції України не є нормативно-правовими актами, не встановлюють правових норм та мають лише інформаційний характер. Їх реальне значення не перевищує авторитету аргументів та суджень, покладених в основу відповідної правової позиції.</w:t>
      </w:r>
    </w:p>
    <w:p w14:paraId="32B181A9" w14:textId="77777777" w:rsidR="00EE26C0" w:rsidRPr="00EE26C0" w:rsidRDefault="00EE26C0" w:rsidP="00EE26C0">
      <w:pPr>
        <w:shd w:val="clear" w:color="auto" w:fill="FFFFFF"/>
        <w:spacing w:after="0" w:line="240" w:lineRule="auto"/>
        <w:textAlignment w:val="baseline"/>
        <w:rPr>
          <w:rFonts w:ascii="Helvetica" w:eastAsia="Times New Roman" w:hAnsi="Helvetica" w:cs="Helvetica"/>
          <w:color w:val="333333"/>
          <w:sz w:val="24"/>
          <w:szCs w:val="24"/>
          <w:lang w:val="uk-UA" w:eastAsia="ru-UA"/>
        </w:rPr>
      </w:pPr>
      <w:r w:rsidRPr="00EE26C0">
        <w:rPr>
          <w:rFonts w:ascii="inherit" w:eastAsia="Times New Roman" w:hAnsi="inherit" w:cs="Helvetica"/>
          <w:i/>
          <w:iCs/>
          <w:color w:val="333333"/>
          <w:sz w:val="24"/>
          <w:szCs w:val="24"/>
          <w:bdr w:val="none" w:sz="0" w:space="0" w:color="auto" w:frame="1"/>
          <w:lang w:val="uk-UA" w:eastAsia="ru-UA"/>
        </w:rPr>
        <w:t>2. Роз’яснення законодавства, яке міститься у цьому листі, не є юридичною консультацією щодо конкретної ситуації та не враховує особливостей відповідних фактичних обставин.</w:t>
      </w:r>
    </w:p>
    <w:p w14:paraId="5EC7FDCB" w14:textId="77777777" w:rsidR="00EE26C0" w:rsidRPr="00EE26C0" w:rsidRDefault="00EE26C0" w:rsidP="00EE26C0">
      <w:pPr>
        <w:shd w:val="clear" w:color="auto" w:fill="FFFFFF"/>
        <w:spacing w:after="0" w:line="240" w:lineRule="auto"/>
        <w:jc w:val="right"/>
        <w:textAlignment w:val="baseline"/>
        <w:rPr>
          <w:rFonts w:ascii="Helvetica" w:eastAsia="Times New Roman" w:hAnsi="Helvetica" w:cs="Helvetica"/>
          <w:color w:val="333333"/>
          <w:sz w:val="24"/>
          <w:szCs w:val="24"/>
          <w:lang w:val="uk-UA" w:eastAsia="ru-UA"/>
        </w:rPr>
      </w:pPr>
      <w:r w:rsidRPr="00EE26C0">
        <w:rPr>
          <w:rFonts w:ascii="inherit" w:eastAsia="Times New Roman" w:hAnsi="inherit" w:cs="Helvetica"/>
          <w:b/>
          <w:bCs/>
          <w:i/>
          <w:iCs/>
          <w:color w:val="333333"/>
          <w:sz w:val="24"/>
          <w:szCs w:val="24"/>
          <w:bdr w:val="none" w:sz="0" w:space="0" w:color="auto" w:frame="1"/>
          <w:lang w:val="uk-UA" w:eastAsia="ru-UA"/>
        </w:rPr>
        <w:t>Перший заступник Міністра</w:t>
      </w:r>
      <w:r w:rsidRPr="00EE26C0">
        <w:rPr>
          <w:rFonts w:ascii="inherit" w:eastAsia="Times New Roman" w:hAnsi="inherit" w:cs="Helvetica"/>
          <w:b/>
          <w:bCs/>
          <w:i/>
          <w:iCs/>
          <w:color w:val="333333"/>
          <w:sz w:val="24"/>
          <w:szCs w:val="24"/>
          <w:bdr w:val="none" w:sz="0" w:space="0" w:color="auto" w:frame="1"/>
          <w:lang w:val="uk-UA" w:eastAsia="ru-UA"/>
        </w:rPr>
        <w:br/>
        <w:t>Євгеній ГОРОБЕЦЬ</w:t>
      </w:r>
    </w:p>
    <w:p w14:paraId="73041F88" w14:textId="77777777" w:rsidR="00AA0B2E" w:rsidRPr="00EE26C0" w:rsidRDefault="00AA0B2E">
      <w:pPr>
        <w:rPr>
          <w:lang w:val="uk-UA"/>
        </w:rPr>
      </w:pPr>
    </w:p>
    <w:sectPr w:rsidR="00AA0B2E" w:rsidRPr="00EE2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9B"/>
    <w:rsid w:val="003A639B"/>
    <w:rsid w:val="00AA0B2E"/>
    <w:rsid w:val="00EE26C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F3C4C-1ECE-4747-B057-9A62ABEF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E26C0"/>
    <w:pPr>
      <w:spacing w:before="100" w:beforeAutospacing="1" w:after="100" w:afterAutospacing="1" w:line="240" w:lineRule="auto"/>
      <w:outlineLvl w:val="1"/>
    </w:pPr>
    <w:rPr>
      <w:rFonts w:ascii="Times New Roman" w:eastAsia="Times New Roman" w:hAnsi="Times New Roman" w:cs="Times New Roman"/>
      <w:b/>
      <w:bCs/>
      <w:sz w:val="36"/>
      <w:szCs w:val="36"/>
      <w:lang w:val="ru-UA"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E26C0"/>
    <w:rPr>
      <w:rFonts w:ascii="Times New Roman" w:eastAsia="Times New Roman" w:hAnsi="Times New Roman" w:cs="Times New Roman"/>
      <w:b/>
      <w:bCs/>
      <w:sz w:val="36"/>
      <w:szCs w:val="36"/>
      <w:lang w:val="ru-UA" w:eastAsia="ru-UA"/>
    </w:rPr>
  </w:style>
  <w:style w:type="paragraph" w:customStyle="1" w:styleId="has-text-align-center">
    <w:name w:val="has-text-align-center"/>
    <w:basedOn w:val="a"/>
    <w:rsid w:val="00EE26C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3">
    <w:name w:val="Strong"/>
    <w:basedOn w:val="a0"/>
    <w:uiPriority w:val="22"/>
    <w:qFormat/>
    <w:rsid w:val="00EE26C0"/>
    <w:rPr>
      <w:b/>
      <w:bCs/>
    </w:rPr>
  </w:style>
  <w:style w:type="paragraph" w:styleId="a4">
    <w:name w:val="Normal (Web)"/>
    <w:basedOn w:val="a"/>
    <w:uiPriority w:val="99"/>
    <w:semiHidden/>
    <w:unhideWhenUsed/>
    <w:rsid w:val="00EE26C0"/>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styleId="a5">
    <w:name w:val="Emphasis"/>
    <w:basedOn w:val="a0"/>
    <w:uiPriority w:val="20"/>
    <w:qFormat/>
    <w:rsid w:val="00EE26C0"/>
    <w:rPr>
      <w:i/>
      <w:iCs/>
    </w:rPr>
  </w:style>
  <w:style w:type="paragraph" w:customStyle="1" w:styleId="has-text-align-right">
    <w:name w:val="has-text-align-right"/>
    <w:basedOn w:val="a"/>
    <w:rsid w:val="00EE26C0"/>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8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7675</Characters>
  <Application>Microsoft Office Word</Application>
  <DocSecurity>0</DocSecurity>
  <Lines>63</Lines>
  <Paragraphs>18</Paragraphs>
  <ScaleCrop>false</ScaleCrop>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2022-02-21T04:57:00Z</dcterms:created>
  <dcterms:modified xsi:type="dcterms:W3CDTF">2022-02-21T04:57:00Z</dcterms:modified>
</cp:coreProperties>
</file>