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9B" w:rsidRPr="00B6099B" w:rsidRDefault="00B6099B" w:rsidP="00B6099B">
      <w:pPr>
        <w:spacing w:before="84" w:after="192" w:line="240" w:lineRule="auto"/>
        <w:jc w:val="center"/>
        <w:rPr>
          <w:rFonts w:ascii="Arial" w:eastAsia="Times New Roman" w:hAnsi="Arial" w:cs="Arial"/>
          <w:sz w:val="18"/>
          <w:szCs w:val="18"/>
          <w:lang w:eastAsia="ru-RU"/>
        </w:rPr>
      </w:pPr>
      <w:r w:rsidRPr="00B6099B">
        <w:rPr>
          <w:rFonts w:ascii="Arial" w:eastAsia="Times New Roman" w:hAnsi="Arial" w:cs="Arial"/>
          <w:b/>
          <w:bCs/>
          <w:sz w:val="24"/>
          <w:szCs w:val="24"/>
          <w:lang w:eastAsia="ru-RU"/>
        </w:rPr>
        <w:t>МІНІСТЕРСТВО РОЗВИТКУ ЕКОНОМІКИ, ТОРГІ</w:t>
      </w:r>
      <w:proofErr w:type="gramStart"/>
      <w:r w:rsidRPr="00B6099B">
        <w:rPr>
          <w:rFonts w:ascii="Arial" w:eastAsia="Times New Roman" w:hAnsi="Arial" w:cs="Arial"/>
          <w:b/>
          <w:bCs/>
          <w:sz w:val="24"/>
          <w:szCs w:val="24"/>
          <w:lang w:eastAsia="ru-RU"/>
        </w:rPr>
        <w:t>ВЛ</w:t>
      </w:r>
      <w:proofErr w:type="gramEnd"/>
      <w:r w:rsidRPr="00B6099B">
        <w:rPr>
          <w:rFonts w:ascii="Arial" w:eastAsia="Times New Roman" w:hAnsi="Arial" w:cs="Arial"/>
          <w:b/>
          <w:bCs/>
          <w:sz w:val="24"/>
          <w:szCs w:val="24"/>
          <w:lang w:eastAsia="ru-RU"/>
        </w:rPr>
        <w:t>І ТА СІЛЬСЬКОГО ГОСПОДАРСТВА УКРАЇНИ</w:t>
      </w:r>
    </w:p>
    <w:p w:rsidR="00B6099B" w:rsidRPr="00B6099B" w:rsidRDefault="00B6099B" w:rsidP="00B6099B">
      <w:pPr>
        <w:spacing w:before="84" w:after="192" w:line="240" w:lineRule="auto"/>
        <w:jc w:val="center"/>
        <w:rPr>
          <w:rFonts w:ascii="Arial" w:eastAsia="Times New Roman" w:hAnsi="Arial" w:cs="Arial"/>
          <w:sz w:val="18"/>
          <w:szCs w:val="18"/>
          <w:lang w:eastAsia="ru-RU"/>
        </w:rPr>
      </w:pPr>
      <w:r w:rsidRPr="00B6099B">
        <w:rPr>
          <w:rFonts w:ascii="Arial" w:eastAsia="Times New Roman" w:hAnsi="Arial" w:cs="Arial"/>
          <w:b/>
          <w:bCs/>
          <w:sz w:val="18"/>
          <w:szCs w:val="18"/>
          <w:lang w:eastAsia="ru-RU"/>
        </w:rPr>
        <w:t>ЛИСТ</w:t>
      </w:r>
    </w:p>
    <w:p w:rsidR="00B6099B" w:rsidRPr="00B6099B" w:rsidRDefault="00B6099B" w:rsidP="00B6099B">
      <w:pPr>
        <w:spacing w:before="84" w:after="192" w:line="240" w:lineRule="auto"/>
        <w:jc w:val="center"/>
        <w:rPr>
          <w:rFonts w:ascii="Arial" w:eastAsia="Times New Roman" w:hAnsi="Arial" w:cs="Arial"/>
          <w:sz w:val="18"/>
          <w:szCs w:val="18"/>
          <w:lang w:eastAsia="ru-RU"/>
        </w:rPr>
      </w:pPr>
      <w:proofErr w:type="spellStart"/>
      <w:r w:rsidRPr="00B6099B">
        <w:rPr>
          <w:rFonts w:ascii="Arial" w:eastAsia="Times New Roman" w:hAnsi="Arial" w:cs="Arial"/>
          <w:b/>
          <w:bCs/>
          <w:sz w:val="18"/>
          <w:szCs w:val="18"/>
          <w:lang w:eastAsia="ru-RU"/>
        </w:rPr>
        <w:t>від</w:t>
      </w:r>
      <w:proofErr w:type="spellEnd"/>
      <w:r w:rsidRPr="00B6099B">
        <w:rPr>
          <w:rFonts w:ascii="Arial" w:eastAsia="Times New Roman" w:hAnsi="Arial" w:cs="Arial"/>
          <w:b/>
          <w:bCs/>
          <w:sz w:val="18"/>
          <w:szCs w:val="18"/>
          <w:lang w:eastAsia="ru-RU"/>
        </w:rPr>
        <w:t xml:space="preserve"> 02.02.2021 р. N 4708-06/6450-07</w:t>
      </w:r>
    </w:p>
    <w:p w:rsidR="00B6099B" w:rsidRPr="00B6099B" w:rsidRDefault="00B6099B" w:rsidP="00B6099B">
      <w:pPr>
        <w:spacing w:before="192" w:after="72" w:line="240" w:lineRule="auto"/>
        <w:jc w:val="center"/>
        <w:outlineLvl w:val="1"/>
        <w:rPr>
          <w:rFonts w:ascii="Verdana" w:eastAsia="Times New Roman" w:hAnsi="Verdana" w:cs="Times New Roman"/>
          <w:b/>
          <w:bCs/>
          <w:sz w:val="31"/>
          <w:szCs w:val="31"/>
          <w:lang w:eastAsia="ru-RU"/>
        </w:rPr>
      </w:pPr>
      <w:proofErr w:type="spellStart"/>
      <w:r w:rsidRPr="00B6099B">
        <w:rPr>
          <w:rFonts w:ascii="Verdana" w:eastAsia="Times New Roman" w:hAnsi="Verdana" w:cs="Times New Roman"/>
          <w:b/>
          <w:bCs/>
          <w:sz w:val="31"/>
          <w:szCs w:val="31"/>
          <w:lang w:eastAsia="ru-RU"/>
        </w:rPr>
        <w:t>Щодо</w:t>
      </w:r>
      <w:proofErr w:type="spellEnd"/>
      <w:r w:rsidRPr="00B6099B">
        <w:rPr>
          <w:rFonts w:ascii="Verdana" w:eastAsia="Times New Roman" w:hAnsi="Verdana" w:cs="Times New Roman"/>
          <w:b/>
          <w:bCs/>
          <w:sz w:val="31"/>
          <w:szCs w:val="31"/>
          <w:lang w:eastAsia="ru-RU"/>
        </w:rPr>
        <w:t xml:space="preserve"> </w:t>
      </w:r>
      <w:bookmarkStart w:id="0" w:name="_GoBack"/>
      <w:r w:rsidRPr="00B6099B">
        <w:rPr>
          <w:rFonts w:ascii="Verdana" w:eastAsia="Times New Roman" w:hAnsi="Verdana" w:cs="Times New Roman"/>
          <w:b/>
          <w:bCs/>
          <w:sz w:val="31"/>
          <w:szCs w:val="31"/>
          <w:lang w:eastAsia="ru-RU"/>
        </w:rPr>
        <w:t xml:space="preserve">порядку </w:t>
      </w:r>
      <w:proofErr w:type="spellStart"/>
      <w:r w:rsidRPr="00B6099B">
        <w:rPr>
          <w:rFonts w:ascii="Verdana" w:eastAsia="Times New Roman" w:hAnsi="Verdana" w:cs="Times New Roman"/>
          <w:b/>
          <w:bCs/>
          <w:sz w:val="31"/>
          <w:szCs w:val="31"/>
          <w:lang w:eastAsia="ru-RU"/>
        </w:rPr>
        <w:t>розрахунку</w:t>
      </w:r>
      <w:proofErr w:type="spellEnd"/>
      <w:r w:rsidRPr="00B6099B">
        <w:rPr>
          <w:rFonts w:ascii="Verdana" w:eastAsia="Times New Roman" w:hAnsi="Verdana" w:cs="Times New Roman"/>
          <w:b/>
          <w:bCs/>
          <w:sz w:val="31"/>
          <w:szCs w:val="31"/>
          <w:lang w:eastAsia="ru-RU"/>
        </w:rPr>
        <w:t xml:space="preserve"> </w:t>
      </w:r>
      <w:proofErr w:type="spellStart"/>
      <w:r w:rsidRPr="00B6099B">
        <w:rPr>
          <w:rFonts w:ascii="Verdana" w:eastAsia="Times New Roman" w:hAnsi="Verdana" w:cs="Times New Roman"/>
          <w:b/>
          <w:bCs/>
          <w:sz w:val="31"/>
          <w:szCs w:val="31"/>
          <w:lang w:eastAsia="ru-RU"/>
        </w:rPr>
        <w:t>частини</w:t>
      </w:r>
      <w:proofErr w:type="spellEnd"/>
      <w:r w:rsidRPr="00B6099B">
        <w:rPr>
          <w:rFonts w:ascii="Verdana" w:eastAsia="Times New Roman" w:hAnsi="Verdana" w:cs="Times New Roman"/>
          <w:b/>
          <w:bCs/>
          <w:sz w:val="31"/>
          <w:szCs w:val="31"/>
          <w:lang w:eastAsia="ru-RU"/>
        </w:rPr>
        <w:t xml:space="preserve"> </w:t>
      </w:r>
      <w:proofErr w:type="spellStart"/>
      <w:r w:rsidRPr="00B6099B">
        <w:rPr>
          <w:rFonts w:ascii="Verdana" w:eastAsia="Times New Roman" w:hAnsi="Verdana" w:cs="Times New Roman"/>
          <w:b/>
          <w:bCs/>
          <w:sz w:val="31"/>
          <w:szCs w:val="31"/>
          <w:lang w:eastAsia="ru-RU"/>
        </w:rPr>
        <w:t>квартальної</w:t>
      </w:r>
      <w:proofErr w:type="spellEnd"/>
      <w:r w:rsidRPr="00B6099B">
        <w:rPr>
          <w:rFonts w:ascii="Verdana" w:eastAsia="Times New Roman" w:hAnsi="Verdana" w:cs="Times New Roman"/>
          <w:b/>
          <w:bCs/>
          <w:sz w:val="31"/>
          <w:szCs w:val="31"/>
          <w:lang w:eastAsia="ru-RU"/>
        </w:rPr>
        <w:t xml:space="preserve"> </w:t>
      </w:r>
      <w:proofErr w:type="spellStart"/>
      <w:r w:rsidRPr="00B6099B">
        <w:rPr>
          <w:rFonts w:ascii="Verdana" w:eastAsia="Times New Roman" w:hAnsi="Verdana" w:cs="Times New Roman"/>
          <w:b/>
          <w:bCs/>
          <w:sz w:val="31"/>
          <w:szCs w:val="31"/>
          <w:lang w:eastAsia="ru-RU"/>
        </w:rPr>
        <w:t>премії</w:t>
      </w:r>
      <w:proofErr w:type="spellEnd"/>
      <w:r w:rsidRPr="00B6099B">
        <w:rPr>
          <w:rFonts w:ascii="Verdana" w:eastAsia="Times New Roman" w:hAnsi="Verdana" w:cs="Times New Roman"/>
          <w:b/>
          <w:bCs/>
          <w:sz w:val="31"/>
          <w:szCs w:val="31"/>
          <w:lang w:eastAsia="ru-RU"/>
        </w:rPr>
        <w:t xml:space="preserve">, яка </w:t>
      </w:r>
      <w:proofErr w:type="spellStart"/>
      <w:proofErr w:type="gramStart"/>
      <w:r w:rsidRPr="00B6099B">
        <w:rPr>
          <w:rFonts w:ascii="Verdana" w:eastAsia="Times New Roman" w:hAnsi="Verdana" w:cs="Times New Roman"/>
          <w:b/>
          <w:bCs/>
          <w:sz w:val="31"/>
          <w:szCs w:val="31"/>
          <w:lang w:eastAsia="ru-RU"/>
        </w:rPr>
        <w:t>включається</w:t>
      </w:r>
      <w:proofErr w:type="spellEnd"/>
      <w:proofErr w:type="gramEnd"/>
      <w:r w:rsidRPr="00B6099B">
        <w:rPr>
          <w:rFonts w:ascii="Verdana" w:eastAsia="Times New Roman" w:hAnsi="Verdana" w:cs="Times New Roman"/>
          <w:b/>
          <w:bCs/>
          <w:sz w:val="31"/>
          <w:szCs w:val="31"/>
          <w:lang w:eastAsia="ru-RU"/>
        </w:rPr>
        <w:t xml:space="preserve"> до </w:t>
      </w:r>
      <w:proofErr w:type="spellStart"/>
      <w:r w:rsidRPr="00B6099B">
        <w:rPr>
          <w:rFonts w:ascii="Verdana" w:eastAsia="Times New Roman" w:hAnsi="Verdana" w:cs="Times New Roman"/>
          <w:b/>
          <w:bCs/>
          <w:sz w:val="31"/>
          <w:szCs w:val="31"/>
          <w:lang w:eastAsia="ru-RU"/>
        </w:rPr>
        <w:t>розрахунку</w:t>
      </w:r>
      <w:proofErr w:type="spellEnd"/>
      <w:r w:rsidRPr="00B6099B">
        <w:rPr>
          <w:rFonts w:ascii="Verdana" w:eastAsia="Times New Roman" w:hAnsi="Verdana" w:cs="Times New Roman"/>
          <w:b/>
          <w:bCs/>
          <w:sz w:val="31"/>
          <w:szCs w:val="31"/>
          <w:lang w:eastAsia="ru-RU"/>
        </w:rPr>
        <w:t xml:space="preserve"> </w:t>
      </w:r>
      <w:proofErr w:type="spellStart"/>
      <w:r w:rsidRPr="00B6099B">
        <w:rPr>
          <w:rFonts w:ascii="Verdana" w:eastAsia="Times New Roman" w:hAnsi="Verdana" w:cs="Times New Roman"/>
          <w:b/>
          <w:bCs/>
          <w:sz w:val="31"/>
          <w:szCs w:val="31"/>
          <w:lang w:eastAsia="ru-RU"/>
        </w:rPr>
        <w:t>середньої</w:t>
      </w:r>
      <w:proofErr w:type="spellEnd"/>
      <w:r w:rsidRPr="00B6099B">
        <w:rPr>
          <w:rFonts w:ascii="Verdana" w:eastAsia="Times New Roman" w:hAnsi="Verdana" w:cs="Times New Roman"/>
          <w:b/>
          <w:bCs/>
          <w:sz w:val="31"/>
          <w:szCs w:val="31"/>
          <w:lang w:eastAsia="ru-RU"/>
        </w:rPr>
        <w:t xml:space="preserve"> </w:t>
      </w:r>
      <w:proofErr w:type="spellStart"/>
      <w:r w:rsidRPr="00B6099B">
        <w:rPr>
          <w:rFonts w:ascii="Verdana" w:eastAsia="Times New Roman" w:hAnsi="Verdana" w:cs="Times New Roman"/>
          <w:b/>
          <w:bCs/>
          <w:sz w:val="31"/>
          <w:szCs w:val="31"/>
          <w:lang w:eastAsia="ru-RU"/>
        </w:rPr>
        <w:t>зарплати</w:t>
      </w:r>
      <w:proofErr w:type="spellEnd"/>
    </w:p>
    <w:bookmarkEnd w:id="0"/>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Мінекономіки розглянуто лист щодо застосування положень Порядку обчислення середньої заробітної плати (далі - Порядок), затвердженого постановою Кабінету Міністрів України N 100 від 08.02.95 р. (зі змінами), та в межах компетенції повідомляється.</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Статтею 119 Кодексу законів про працю України встановлено, що за працівниками, призваними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прийнятими на військову службу за контрактом, у тому числі шляхом укладення нового контракту на проходження військової служби,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Обчислення середньої заробітної плати таким працівникам проводиться відповідно до норм Порядку, виходячи з виплат за останні два календарні місяці роботи, що передують місяцю призову (прийняття) працівника на військову службу.</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Абзацом першим пункту 3 Порядку встановлено, що при обчисленні середньої заробітної плати враховуються всі суми нарахованої заробітної плати згідно із законодавством та умовами трудового договору, крім визначених у пункті 4 Порядку.</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 xml:space="preserve">Згідно з абзацом другим пункту 3 Порядку суми нарахованої заробітної плати враховуються у тому місяці, за який вони нараховані, та у розмірах, в яких вони нараховані, без виключення сум відрахування на податки, стягнення аліментів тощо, за винятком відрахувань із заробітної плати осіб, засуджених за </w:t>
      </w:r>
      <w:proofErr w:type="spellStart"/>
      <w:r w:rsidRPr="00B6099B">
        <w:rPr>
          <w:rFonts w:ascii="Arial" w:eastAsia="Times New Roman" w:hAnsi="Arial" w:cs="Arial"/>
          <w:sz w:val="24"/>
          <w:szCs w:val="24"/>
          <w:lang w:val="uk-UA" w:eastAsia="ru-RU"/>
        </w:rPr>
        <w:t>вироком</w:t>
      </w:r>
      <w:proofErr w:type="spellEnd"/>
      <w:r w:rsidRPr="00B6099B">
        <w:rPr>
          <w:rFonts w:ascii="Arial" w:eastAsia="Times New Roman" w:hAnsi="Arial" w:cs="Arial"/>
          <w:sz w:val="24"/>
          <w:szCs w:val="24"/>
          <w:lang w:val="uk-UA" w:eastAsia="ru-RU"/>
        </w:rPr>
        <w:t xml:space="preserve"> суду до виправних робіт без позбавлення волі.</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 xml:space="preserve">Абзацом третім пункту 3 Порядку передбачено, що премії та інші виплати, які виплачуються за два місяці або більш тривалий період, при обчисленні середньої заробітної плати включаються шляхом додавання до заробітку кожного місяця розрахункового періоду частини, що відповідає кількості відпрацьованих робочих днів періоду (місяців), за які такі премії та інші виплати нараховані. Така частина визначається діленням суми нарахованих премій та інших виплат на кількість відпрацьованих робочих днів періоду, за який вони нараховані, та множенням на </w:t>
      </w:r>
      <w:r w:rsidRPr="00B6099B">
        <w:rPr>
          <w:rFonts w:ascii="Arial" w:eastAsia="Times New Roman" w:hAnsi="Arial" w:cs="Arial"/>
          <w:sz w:val="24"/>
          <w:szCs w:val="24"/>
          <w:lang w:val="uk-UA" w:eastAsia="ru-RU"/>
        </w:rPr>
        <w:lastRenderedPageBreak/>
        <w:t>кількість відпрацьованих робочих днів кожного місяця, що відноситься до розрахункового періоду для обчислення середньої заробітної плати.</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Тобто у зазначеному в листі випадку для визначення частини премії, яка буде врахована при обчисленні середньої заробітної плати працівнику, необхідно суму премії за четвертий квартал 2020 року розділити на кількість відпрацьованих працівником робочих днів у четвертому кварталі 2020 року, потім отриманий результат помножити на кількість відпрацьованих працівником робочих днів у листопаді та у грудні 2020 року.</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Щодо округлення частин премії, які додаються до заробітку місяців розрахункового періоду, то, як правило, при розрахунку проміжковий показник не округлюється.</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Разом з тим, оскільки відповідно до пункту 2 статті 8 Закону України </w:t>
      </w:r>
      <w:hyperlink r:id="rId5" w:history="1">
        <w:r w:rsidRPr="00B6099B">
          <w:rPr>
            <w:rFonts w:ascii="Arial" w:eastAsia="Times New Roman" w:hAnsi="Arial" w:cs="Arial"/>
            <w:sz w:val="24"/>
            <w:szCs w:val="24"/>
            <w:lang w:val="uk-UA" w:eastAsia="ru-RU"/>
          </w:rPr>
          <w:t>"Про бухгалтерський облік та фінансову звітність в Україні"</w:t>
        </w:r>
      </w:hyperlink>
      <w:r w:rsidRPr="00B6099B">
        <w:rPr>
          <w:rFonts w:ascii="Arial" w:eastAsia="Times New Roman" w:hAnsi="Arial" w:cs="Arial"/>
          <w:sz w:val="24"/>
          <w:szCs w:val="24"/>
          <w:lang w:val="uk-UA" w:eastAsia="ru-RU"/>
        </w:rPr>
        <w:t> відображення та облік зазначених операцій належить до питань організації бухгалтерського обліку на підприємстві і є компетенцією його власника (власників) або уповноваженого органу (посадової особи) відповідно до законодавства та установчих документів, то для уникнення непорозумінь правила округлення доцільно прописати в колективному договорі або іншому локальному акті підприємства, установи, організації.</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Одночасно повідомляємо, що листи міністерств не є нормативно-правовими актами та мають інформаційно-рекомендаційний характер.</w:t>
      </w:r>
    </w:p>
    <w:p w:rsidR="00B6099B" w:rsidRPr="00B6099B" w:rsidRDefault="00B6099B" w:rsidP="00B6099B">
      <w:pPr>
        <w:spacing w:before="84" w:after="192"/>
        <w:rPr>
          <w:rFonts w:ascii="Arial" w:eastAsia="Times New Roman" w:hAnsi="Arial" w:cs="Arial"/>
          <w:sz w:val="24"/>
          <w:szCs w:val="24"/>
          <w:lang w:val="uk-UA" w:eastAsia="ru-RU"/>
        </w:rPr>
      </w:pPr>
      <w:r w:rsidRPr="00B6099B">
        <w:rPr>
          <w:rFonts w:ascii="Arial" w:eastAsia="Times New Roman" w:hAnsi="Arial" w:cs="Arial"/>
          <w:sz w:val="24"/>
          <w:szCs w:val="24"/>
          <w:lang w:val="uk-UA" w:eastAsia="ru-RU"/>
        </w:rPr>
        <w:t>З метою недопущення поширення гострої респіраторної хвороби COVID-19, спричиненої коронавірусом SARS-CoV-2, Мінекономіки мінімізує використання паперового документообігу, у зв’язку з чим відповідь надається електронною поштою.</w:t>
      </w:r>
    </w:p>
    <w:tbl>
      <w:tblPr>
        <w:tblW w:w="5000" w:type="pct"/>
        <w:tblCellSpacing w:w="22" w:type="dxa"/>
        <w:tblCellMar>
          <w:left w:w="0" w:type="dxa"/>
          <w:right w:w="0" w:type="dxa"/>
        </w:tblCellMar>
        <w:tblLook w:val="04A0" w:firstRow="1" w:lastRow="0" w:firstColumn="1" w:lastColumn="0" w:noHBand="0" w:noVBand="1"/>
      </w:tblPr>
      <w:tblGrid>
        <w:gridCol w:w="4751"/>
        <w:gridCol w:w="4752"/>
      </w:tblGrid>
      <w:tr w:rsidR="00B6099B" w:rsidRPr="00B6099B" w:rsidTr="00B6099B">
        <w:trPr>
          <w:tblCellSpacing w:w="22" w:type="dxa"/>
        </w:trPr>
        <w:tc>
          <w:tcPr>
            <w:tcW w:w="2500" w:type="pct"/>
            <w:shd w:val="clear" w:color="auto" w:fill="auto"/>
            <w:tcMar>
              <w:top w:w="30" w:type="dxa"/>
              <w:left w:w="30" w:type="dxa"/>
              <w:bottom w:w="30" w:type="dxa"/>
              <w:right w:w="30" w:type="dxa"/>
            </w:tcMar>
            <w:hideMark/>
          </w:tcPr>
          <w:p w:rsidR="00B6099B" w:rsidRPr="00B6099B" w:rsidRDefault="00B6099B" w:rsidP="00B6099B">
            <w:pPr>
              <w:spacing w:before="84" w:after="192" w:line="240" w:lineRule="auto"/>
              <w:jc w:val="center"/>
              <w:rPr>
                <w:rFonts w:ascii="Arial" w:eastAsia="Times New Roman" w:hAnsi="Arial" w:cs="Arial"/>
                <w:sz w:val="18"/>
                <w:szCs w:val="18"/>
                <w:lang w:val="uk-UA" w:eastAsia="ru-RU"/>
              </w:rPr>
            </w:pPr>
            <w:r w:rsidRPr="00B6099B">
              <w:rPr>
                <w:rFonts w:ascii="Arial" w:eastAsia="Times New Roman" w:hAnsi="Arial" w:cs="Arial"/>
                <w:b/>
                <w:bCs/>
                <w:sz w:val="18"/>
                <w:szCs w:val="18"/>
                <w:lang w:val="uk-UA" w:eastAsia="ru-RU"/>
              </w:rPr>
              <w:t>Заступник Міністра розвитку</w:t>
            </w:r>
            <w:r w:rsidRPr="00B6099B">
              <w:rPr>
                <w:rFonts w:ascii="Arial" w:eastAsia="Times New Roman" w:hAnsi="Arial" w:cs="Arial"/>
                <w:sz w:val="18"/>
                <w:szCs w:val="18"/>
                <w:lang w:val="uk-UA" w:eastAsia="ru-RU"/>
              </w:rPr>
              <w:br/>
            </w:r>
            <w:r w:rsidRPr="00B6099B">
              <w:rPr>
                <w:rFonts w:ascii="Arial" w:eastAsia="Times New Roman" w:hAnsi="Arial" w:cs="Arial"/>
                <w:b/>
                <w:bCs/>
                <w:sz w:val="18"/>
                <w:szCs w:val="18"/>
                <w:lang w:val="uk-UA" w:eastAsia="ru-RU"/>
              </w:rPr>
              <w:t>економіки, торгівлі та сільського</w:t>
            </w:r>
            <w:r w:rsidRPr="00B6099B">
              <w:rPr>
                <w:rFonts w:ascii="Arial" w:eastAsia="Times New Roman" w:hAnsi="Arial" w:cs="Arial"/>
                <w:sz w:val="18"/>
                <w:szCs w:val="18"/>
                <w:lang w:val="uk-UA" w:eastAsia="ru-RU"/>
              </w:rPr>
              <w:br/>
            </w:r>
            <w:r w:rsidRPr="00B6099B">
              <w:rPr>
                <w:rFonts w:ascii="Arial" w:eastAsia="Times New Roman" w:hAnsi="Arial" w:cs="Arial"/>
                <w:b/>
                <w:bCs/>
                <w:sz w:val="18"/>
                <w:szCs w:val="18"/>
                <w:lang w:val="uk-UA" w:eastAsia="ru-RU"/>
              </w:rPr>
              <w:t>господарства України з питань</w:t>
            </w:r>
            <w:r w:rsidRPr="00B6099B">
              <w:rPr>
                <w:rFonts w:ascii="Arial" w:eastAsia="Times New Roman" w:hAnsi="Arial" w:cs="Arial"/>
                <w:sz w:val="18"/>
                <w:szCs w:val="18"/>
                <w:lang w:val="uk-UA" w:eastAsia="ru-RU"/>
              </w:rPr>
              <w:br/>
            </w:r>
            <w:r w:rsidRPr="00B6099B">
              <w:rPr>
                <w:rFonts w:ascii="Arial" w:eastAsia="Times New Roman" w:hAnsi="Arial" w:cs="Arial"/>
                <w:b/>
                <w:bCs/>
                <w:sz w:val="18"/>
                <w:szCs w:val="18"/>
                <w:lang w:val="uk-UA" w:eastAsia="ru-RU"/>
              </w:rPr>
              <w:t>цифрового розвитку, цифрових</w:t>
            </w:r>
            <w:r w:rsidRPr="00B6099B">
              <w:rPr>
                <w:rFonts w:ascii="Arial" w:eastAsia="Times New Roman" w:hAnsi="Arial" w:cs="Arial"/>
                <w:sz w:val="18"/>
                <w:szCs w:val="18"/>
                <w:lang w:val="uk-UA" w:eastAsia="ru-RU"/>
              </w:rPr>
              <w:br/>
            </w:r>
            <w:r w:rsidRPr="00B6099B">
              <w:rPr>
                <w:rFonts w:ascii="Arial" w:eastAsia="Times New Roman" w:hAnsi="Arial" w:cs="Arial"/>
                <w:b/>
                <w:bCs/>
                <w:sz w:val="18"/>
                <w:szCs w:val="18"/>
                <w:lang w:val="uk-UA" w:eastAsia="ru-RU"/>
              </w:rPr>
              <w:t xml:space="preserve">трансформацій і </w:t>
            </w:r>
            <w:proofErr w:type="spellStart"/>
            <w:r w:rsidRPr="00B6099B">
              <w:rPr>
                <w:rFonts w:ascii="Arial" w:eastAsia="Times New Roman" w:hAnsi="Arial" w:cs="Arial"/>
                <w:b/>
                <w:bCs/>
                <w:sz w:val="18"/>
                <w:szCs w:val="18"/>
                <w:lang w:val="uk-UA" w:eastAsia="ru-RU"/>
              </w:rPr>
              <w:t>цифровізації</w:t>
            </w:r>
            <w:proofErr w:type="spellEnd"/>
          </w:p>
        </w:tc>
        <w:tc>
          <w:tcPr>
            <w:tcW w:w="2500" w:type="pct"/>
            <w:shd w:val="clear" w:color="auto" w:fill="auto"/>
            <w:tcMar>
              <w:top w:w="30" w:type="dxa"/>
              <w:left w:w="30" w:type="dxa"/>
              <w:bottom w:w="30" w:type="dxa"/>
              <w:right w:w="30" w:type="dxa"/>
            </w:tcMar>
            <w:vAlign w:val="bottom"/>
            <w:hideMark/>
          </w:tcPr>
          <w:p w:rsidR="00B6099B" w:rsidRPr="00B6099B" w:rsidRDefault="00B6099B" w:rsidP="00B6099B">
            <w:pPr>
              <w:spacing w:before="84" w:after="192" w:line="240" w:lineRule="auto"/>
              <w:jc w:val="center"/>
              <w:rPr>
                <w:rFonts w:ascii="Arial" w:eastAsia="Times New Roman" w:hAnsi="Arial" w:cs="Arial"/>
                <w:sz w:val="18"/>
                <w:szCs w:val="18"/>
                <w:lang w:val="uk-UA" w:eastAsia="ru-RU"/>
              </w:rPr>
            </w:pPr>
            <w:r w:rsidRPr="00B6099B">
              <w:rPr>
                <w:rFonts w:ascii="Arial" w:eastAsia="Times New Roman" w:hAnsi="Arial" w:cs="Arial"/>
                <w:b/>
                <w:bCs/>
                <w:sz w:val="18"/>
                <w:szCs w:val="18"/>
                <w:lang w:val="uk-UA" w:eastAsia="ru-RU"/>
              </w:rPr>
              <w:t>Ігор ДЯДЮРА</w:t>
            </w:r>
          </w:p>
        </w:tc>
      </w:tr>
    </w:tbl>
    <w:p w:rsidR="001B2519" w:rsidRPr="00B6099B" w:rsidRDefault="001B2519" w:rsidP="00B6099B"/>
    <w:sectPr w:rsidR="001B2519" w:rsidRPr="00B60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9B"/>
    <w:rsid w:val="001B2519"/>
    <w:rsid w:val="00B6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0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99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60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099B"/>
    <w:rPr>
      <w:b/>
      <w:bCs/>
    </w:rPr>
  </w:style>
  <w:style w:type="character" w:styleId="a5">
    <w:name w:val="Hyperlink"/>
    <w:basedOn w:val="a0"/>
    <w:uiPriority w:val="99"/>
    <w:semiHidden/>
    <w:unhideWhenUsed/>
    <w:rsid w:val="00B609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09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99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60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099B"/>
    <w:rPr>
      <w:b/>
      <w:bCs/>
    </w:rPr>
  </w:style>
  <w:style w:type="character" w:styleId="a5">
    <w:name w:val="Hyperlink"/>
    <w:basedOn w:val="a0"/>
    <w:uiPriority w:val="99"/>
    <w:semiHidden/>
    <w:unhideWhenUsed/>
    <w:rsid w:val="00B60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ofiwins.com.ua/uk/legislation/laws/24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2021-03-02T06:37:00Z</dcterms:created>
  <dcterms:modified xsi:type="dcterms:W3CDTF">2021-03-02T06:40:00Z</dcterms:modified>
</cp:coreProperties>
</file>